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E19D7" w14:textId="2243CFE5" w:rsidR="0025600B" w:rsidRDefault="0025600B">
      <w:pPr>
        <w:shd w:val="clear" w:color="auto" w:fill="FFFFFF"/>
        <w:spacing w:after="0" w:line="240" w:lineRule="auto"/>
        <w:ind w:left="142"/>
        <w:jc w:val="center"/>
        <w:rPr>
          <w:rFonts w:ascii="Times New Roman" w:eastAsia="Times New Roman" w:hAnsi="Times New Roman" w:cs="Times New Roman"/>
          <w:b/>
          <w:sz w:val="24"/>
          <w:szCs w:val="24"/>
        </w:rPr>
      </w:pPr>
      <w:bookmarkStart w:id="0" w:name="_GoBack"/>
      <w:bookmarkEnd w:id="0"/>
      <w:r>
        <w:rPr>
          <w:noProof/>
          <w:lang w:val="es-419" w:eastAsia="es-419"/>
        </w:rPr>
        <w:drawing>
          <wp:anchor distT="0" distB="0" distL="114300" distR="114300" simplePos="0" relativeHeight="251659264" behindDoc="0" locked="0" layoutInCell="1" allowOverlap="1" wp14:anchorId="2832E78E" wp14:editId="70283E61">
            <wp:simplePos x="0" y="0"/>
            <wp:positionH relativeFrom="column">
              <wp:posOffset>2846070</wp:posOffset>
            </wp:positionH>
            <wp:positionV relativeFrom="paragraph">
              <wp:posOffset>173990</wp:posOffset>
            </wp:positionV>
            <wp:extent cx="2512060" cy="542925"/>
            <wp:effectExtent l="0" t="0" r="2540" b="9525"/>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512060" cy="542925"/>
                    </a:xfrm>
                    <a:prstGeom prst="rect">
                      <a:avLst/>
                    </a:prstGeom>
                  </pic:spPr>
                </pic:pic>
              </a:graphicData>
            </a:graphic>
            <wp14:sizeRelH relativeFrom="margin">
              <wp14:pctWidth>0</wp14:pctWidth>
            </wp14:sizeRelH>
            <wp14:sizeRelV relativeFrom="margin">
              <wp14:pctHeight>0</wp14:pctHeight>
            </wp14:sizeRelV>
          </wp:anchor>
        </w:drawing>
      </w:r>
    </w:p>
    <w:p w14:paraId="7A491AF3" w14:textId="2D47458C" w:rsidR="00B33822" w:rsidRDefault="0025600B">
      <w:pPr>
        <w:shd w:val="clear" w:color="auto" w:fill="FFFFFF"/>
        <w:spacing w:after="0" w:line="240" w:lineRule="auto"/>
        <w:ind w:left="142"/>
        <w:jc w:val="center"/>
        <w:rPr>
          <w:rFonts w:ascii="Times New Roman" w:eastAsia="Times New Roman" w:hAnsi="Times New Roman" w:cs="Times New Roman"/>
          <w:b/>
          <w:sz w:val="24"/>
          <w:szCs w:val="24"/>
        </w:rPr>
      </w:pPr>
      <w:bookmarkStart w:id="1" w:name="_heading=h.gjdgxs" w:colFirst="0" w:colLast="0"/>
      <w:bookmarkEnd w:id="1"/>
      <w:r>
        <w:rPr>
          <w:noProof/>
          <w:lang w:val="es-419" w:eastAsia="es-419"/>
        </w:rPr>
        <w:drawing>
          <wp:anchor distT="0" distB="0" distL="114300" distR="114300" simplePos="0" relativeHeight="251658240" behindDoc="1" locked="0" layoutInCell="1" allowOverlap="1" wp14:anchorId="04837A81" wp14:editId="12ED8B7F">
            <wp:simplePos x="0" y="0"/>
            <wp:positionH relativeFrom="column">
              <wp:posOffset>2771591</wp:posOffset>
            </wp:positionH>
            <wp:positionV relativeFrom="paragraph">
              <wp:posOffset>2540</wp:posOffset>
            </wp:positionV>
            <wp:extent cx="2387149" cy="8286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396352" cy="831870"/>
                    </a:xfrm>
                    <a:prstGeom prst="rect">
                      <a:avLst/>
                    </a:prstGeom>
                  </pic:spPr>
                </pic:pic>
              </a:graphicData>
            </a:graphic>
            <wp14:sizeRelH relativeFrom="margin">
              <wp14:pctWidth>0</wp14:pctWidth>
            </wp14:sizeRelH>
            <wp14:sizeRelV relativeFrom="margin">
              <wp14:pctHeight>0</wp14:pctHeight>
            </wp14:sizeRelV>
          </wp:anchor>
        </w:drawing>
      </w:r>
      <w:r w:rsidR="00072DA4">
        <w:rPr>
          <w:rFonts w:ascii="Times New Roman" w:eastAsia="Times New Roman" w:hAnsi="Times New Roman" w:cs="Times New Roman"/>
          <w:b/>
          <w:sz w:val="24"/>
          <w:szCs w:val="24"/>
        </w:rPr>
        <w:t>MEMORANDO</w:t>
      </w:r>
    </w:p>
    <w:p w14:paraId="619BC8B2" w14:textId="77777777" w:rsidR="00B33822" w:rsidRDefault="00B33822">
      <w:pPr>
        <w:shd w:val="clear" w:color="auto" w:fill="FFFFFF"/>
        <w:spacing w:after="0" w:line="240" w:lineRule="auto"/>
        <w:ind w:firstLine="357"/>
      </w:pPr>
    </w:p>
    <w:p w14:paraId="306F4E93" w14:textId="77777777" w:rsidR="00B33822" w:rsidRDefault="00B33822">
      <w:pPr>
        <w:shd w:val="clear" w:color="auto" w:fill="FFFFFF"/>
        <w:spacing w:after="0" w:line="240" w:lineRule="auto"/>
        <w:ind w:firstLine="357"/>
      </w:pPr>
    </w:p>
    <w:p w14:paraId="3926252F" w14:textId="349B85EE" w:rsidR="00B33822" w:rsidRDefault="00072DA4" w:rsidP="00924E73">
      <w:pPr>
        <w:shd w:val="clear" w:color="auto" w:fill="FFFFFF"/>
        <w:spacing w:after="0" w:line="240"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PARA: </w:t>
      </w:r>
      <w:r>
        <w:rPr>
          <w:rFonts w:ascii="Times New Roman" w:eastAsia="Times New Roman" w:hAnsi="Times New Roman" w:cs="Times New Roman"/>
          <w:sz w:val="24"/>
          <w:szCs w:val="24"/>
        </w:rPr>
        <w:tab/>
      </w:r>
      <w:r w:rsidR="00924E73">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DAVID ANTONIO GARZÓN FANDIÑO</w:t>
      </w:r>
    </w:p>
    <w:p w14:paraId="076D565E" w14:textId="77777777" w:rsidR="00B33822" w:rsidRDefault="00072DA4" w:rsidP="00924E73">
      <w:pPr>
        <w:shd w:val="clear" w:color="auto" w:fill="FFFFFF"/>
        <w:spacing w:after="0" w:line="240" w:lineRule="auto"/>
        <w:ind w:left="1345" w:firstLine="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Subsecretario de Despacho </w:t>
      </w:r>
    </w:p>
    <w:p w14:paraId="089702E8" w14:textId="77777777" w:rsidR="00B33822" w:rsidRDefault="00072DA4" w:rsidP="00924E73">
      <w:pPr>
        <w:shd w:val="clear" w:color="auto" w:fill="FFFFFF"/>
        <w:spacing w:after="0" w:line="240" w:lineRule="auto"/>
        <w:ind w:left="1345" w:firstLine="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Comisión Segunda Permanente de Gobierno </w:t>
      </w:r>
    </w:p>
    <w:p w14:paraId="24573EF2" w14:textId="77777777" w:rsidR="00B33822" w:rsidRDefault="00B33822" w:rsidP="00924E73">
      <w:pPr>
        <w:shd w:val="clear" w:color="auto" w:fill="FFFFFF"/>
        <w:spacing w:after="0" w:line="240" w:lineRule="auto"/>
        <w:ind w:left="0" w:firstLine="357"/>
        <w:rPr>
          <w:rFonts w:ascii="Times New Roman" w:eastAsia="Times New Roman" w:hAnsi="Times New Roman" w:cs="Times New Roman"/>
          <w:sz w:val="24"/>
          <w:szCs w:val="24"/>
        </w:rPr>
      </w:pPr>
    </w:p>
    <w:p w14:paraId="42169A63" w14:textId="47DD1B9F" w:rsidR="00B33822" w:rsidRDefault="00072DA4" w:rsidP="00924E73">
      <w:pPr>
        <w:shd w:val="clear" w:color="auto" w:fill="FFFFFF"/>
        <w:spacing w:after="0" w:line="240"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DE:</w:t>
      </w:r>
      <w:r>
        <w:rPr>
          <w:rFonts w:ascii="Times New Roman" w:eastAsia="Times New Roman" w:hAnsi="Times New Roman" w:cs="Times New Roman"/>
          <w:sz w:val="24"/>
          <w:szCs w:val="24"/>
        </w:rPr>
        <w:tab/>
      </w:r>
      <w:r w:rsidR="00924E73">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H.C. ARMANDO GUTIÉRREZ GONZÁLEZ</w:t>
      </w:r>
      <w:r>
        <w:rPr>
          <w:rFonts w:ascii="Times New Roman" w:eastAsia="Times New Roman" w:hAnsi="Times New Roman" w:cs="Times New Roman"/>
          <w:sz w:val="24"/>
          <w:szCs w:val="24"/>
        </w:rPr>
        <w:t xml:space="preserve"> </w:t>
      </w:r>
    </w:p>
    <w:p w14:paraId="782DA4F3" w14:textId="3573D097" w:rsidR="00B33822" w:rsidRDefault="00072DA4" w:rsidP="00924E73">
      <w:pPr>
        <w:shd w:val="clear" w:color="auto" w:fill="FFFFFF"/>
        <w:spacing w:after="0" w:line="240"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Coordinador ponente</w:t>
      </w:r>
    </w:p>
    <w:p w14:paraId="0A1DE814" w14:textId="77777777" w:rsidR="00B33822" w:rsidRDefault="00072DA4" w:rsidP="00924E73">
      <w:pPr>
        <w:shd w:val="clear" w:color="auto" w:fill="FFFFFF"/>
        <w:spacing w:after="0" w:line="240" w:lineRule="auto"/>
        <w:ind w:left="1083"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H.C. ROCÍO DUSSÁN PÉREZ</w:t>
      </w:r>
    </w:p>
    <w:p w14:paraId="385D0D06" w14:textId="77777777" w:rsidR="00B33822" w:rsidRDefault="00072DA4" w:rsidP="00924E73">
      <w:pPr>
        <w:shd w:val="clear" w:color="auto" w:fill="FFFFFF"/>
        <w:spacing w:after="0" w:line="240" w:lineRule="auto"/>
        <w:ind w:left="1083"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Ponente</w:t>
      </w:r>
    </w:p>
    <w:p w14:paraId="64C97D23" w14:textId="77777777" w:rsidR="00B33822" w:rsidRDefault="00B33822" w:rsidP="00924E73">
      <w:pPr>
        <w:shd w:val="clear" w:color="auto" w:fill="FFFFFF"/>
        <w:spacing w:after="0" w:line="240" w:lineRule="auto"/>
        <w:ind w:left="0" w:firstLine="357"/>
        <w:rPr>
          <w:rFonts w:ascii="Times New Roman" w:eastAsia="Times New Roman" w:hAnsi="Times New Roman" w:cs="Times New Roman"/>
          <w:sz w:val="24"/>
          <w:szCs w:val="24"/>
        </w:rPr>
      </w:pPr>
    </w:p>
    <w:p w14:paraId="20D29F61" w14:textId="77777777" w:rsidR="00B33822" w:rsidRDefault="00B33822" w:rsidP="00924E73">
      <w:pPr>
        <w:shd w:val="clear" w:color="auto" w:fill="FFFFFF"/>
        <w:spacing w:after="0" w:line="240" w:lineRule="auto"/>
        <w:ind w:left="0" w:firstLine="357"/>
        <w:rPr>
          <w:rFonts w:ascii="Times New Roman" w:eastAsia="Times New Roman" w:hAnsi="Times New Roman" w:cs="Times New Roman"/>
          <w:sz w:val="24"/>
          <w:szCs w:val="24"/>
        </w:rPr>
      </w:pPr>
    </w:p>
    <w:p w14:paraId="3F85770C" w14:textId="00DBCABF" w:rsidR="00924E73" w:rsidRDefault="00072DA4" w:rsidP="00924E73">
      <w:pPr>
        <w:shd w:val="clear" w:color="auto" w:fill="FFFFFF"/>
        <w:spacing w:after="0" w:line="240"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ASUNTO:       Presentación Ponencia Positiva con Modificaciones al Proyecto </w:t>
      </w:r>
      <w:r w:rsidR="00924E73">
        <w:rPr>
          <w:rFonts w:ascii="Times New Roman" w:eastAsia="Times New Roman" w:hAnsi="Times New Roman" w:cs="Times New Roman"/>
          <w:sz w:val="24"/>
          <w:szCs w:val="24"/>
        </w:rPr>
        <w:t xml:space="preserve">          </w:t>
      </w:r>
    </w:p>
    <w:p w14:paraId="4B3902C9" w14:textId="173DF8FB" w:rsidR="00B33822" w:rsidRDefault="00072DA4" w:rsidP="00924E73">
      <w:pPr>
        <w:shd w:val="clear" w:color="auto" w:fill="FFFFFF"/>
        <w:spacing w:after="0" w:line="240" w:lineRule="auto"/>
        <w:ind w:left="0"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Acuerdo 177 de 2025 </w:t>
      </w:r>
    </w:p>
    <w:p w14:paraId="652CBBD9" w14:textId="77777777" w:rsidR="00B33822" w:rsidRDefault="00072DA4">
      <w:pPr>
        <w:shd w:val="clear" w:color="auto" w:fill="FFFFFF"/>
        <w:spacing w:after="0" w:line="240" w:lineRule="auto"/>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2F6414" w14:textId="77777777" w:rsidR="00B33822" w:rsidRDefault="00B33822">
      <w:pPr>
        <w:shd w:val="clear" w:color="auto" w:fill="FFFFFF"/>
        <w:spacing w:after="0" w:line="240" w:lineRule="auto"/>
        <w:ind w:firstLine="357"/>
        <w:rPr>
          <w:rFonts w:ascii="Times New Roman" w:eastAsia="Times New Roman" w:hAnsi="Times New Roman" w:cs="Times New Roman"/>
          <w:sz w:val="24"/>
          <w:szCs w:val="24"/>
        </w:rPr>
      </w:pPr>
    </w:p>
    <w:p w14:paraId="351F0A7D" w14:textId="77777777" w:rsidR="00B33822" w:rsidRDefault="00B33822" w:rsidP="00A27C80">
      <w:pPr>
        <w:shd w:val="clear" w:color="auto" w:fill="FFFFFF"/>
        <w:spacing w:after="0" w:line="240" w:lineRule="auto"/>
        <w:ind w:firstLine="357"/>
        <w:rPr>
          <w:rFonts w:ascii="Times New Roman" w:eastAsia="Times New Roman" w:hAnsi="Times New Roman" w:cs="Times New Roman"/>
          <w:sz w:val="24"/>
          <w:szCs w:val="24"/>
        </w:rPr>
      </w:pPr>
    </w:p>
    <w:p w14:paraId="02E2323C" w14:textId="77777777" w:rsidR="00B33822" w:rsidRDefault="00072DA4" w:rsidP="00A27C8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Respetado Subsecretario, </w:t>
      </w:r>
    </w:p>
    <w:p w14:paraId="3AADDAF9" w14:textId="77777777" w:rsidR="00B33822" w:rsidRDefault="00B33822" w:rsidP="00A27C80">
      <w:pPr>
        <w:shd w:val="clear" w:color="auto" w:fill="FFFFFF"/>
        <w:spacing w:after="0" w:line="240" w:lineRule="auto"/>
        <w:ind w:firstLine="357"/>
        <w:rPr>
          <w:rFonts w:ascii="Times New Roman" w:eastAsia="Times New Roman" w:hAnsi="Times New Roman" w:cs="Times New Roman"/>
          <w:sz w:val="24"/>
          <w:szCs w:val="24"/>
        </w:rPr>
      </w:pPr>
    </w:p>
    <w:p w14:paraId="3AB65E9F" w14:textId="03035FE6" w:rsidR="00B33822" w:rsidRPr="00924E73" w:rsidRDefault="00072DA4" w:rsidP="00A27C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 manera atenta, de conformidad a lo establecido en el Parágrafo 1º del artículo </w:t>
      </w:r>
      <w:r w:rsidR="00924E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71</w:t>
      </w:r>
      <w:r w:rsidR="00924E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del Acuerdo 837 de 2022 “Por el cual se modifica el acuerdo 741 de 2019 y se dictan otras disposiciones” y en cumplimiento con la designación realizada por la Secretaría General a través de memorando 2025IE1932 del 28/01/2025, nos </w:t>
      </w:r>
      <w:r w:rsidR="00924E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permitimos presentar </w:t>
      </w:r>
      <w:r>
        <w:rPr>
          <w:rFonts w:ascii="Times New Roman" w:eastAsia="Times New Roman" w:hAnsi="Times New Roman" w:cs="Times New Roman"/>
          <w:b/>
          <w:sz w:val="24"/>
          <w:szCs w:val="24"/>
        </w:rPr>
        <w:t>PONENCIA POSITIVA CON MODIFICACIONES</w:t>
      </w:r>
      <w:r>
        <w:rPr>
          <w:rFonts w:ascii="Times New Roman" w:eastAsia="Times New Roman" w:hAnsi="Times New Roman" w:cs="Times New Roman"/>
          <w:sz w:val="24"/>
          <w:szCs w:val="24"/>
        </w:rPr>
        <w:t xml:space="preserve"> al proyecto de acuerdo No. 177 de 2025 </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 xml:space="preserve">“POR MEDIO DEL CUAL SE IMPLEMENTA LA LÍNEA DE ATENCIÓN Y ORIENTACIÓN DEL ADULTO MAYOR”. </w:t>
      </w:r>
    </w:p>
    <w:p w14:paraId="0158D447" w14:textId="77777777" w:rsidR="00B33822" w:rsidRDefault="00B33822" w:rsidP="00924E73">
      <w:pPr>
        <w:spacing w:after="0" w:line="240" w:lineRule="auto"/>
        <w:ind w:left="714" w:firstLine="357"/>
        <w:rPr>
          <w:rFonts w:ascii="Times New Roman" w:eastAsia="Times New Roman" w:hAnsi="Times New Roman" w:cs="Times New Roman"/>
          <w:sz w:val="24"/>
          <w:szCs w:val="24"/>
        </w:rPr>
      </w:pPr>
    </w:p>
    <w:p w14:paraId="47D46B74" w14:textId="77777777" w:rsidR="00B33822" w:rsidRDefault="00B33822" w:rsidP="00924E73">
      <w:pPr>
        <w:spacing w:after="0" w:line="240" w:lineRule="auto"/>
        <w:ind w:left="714" w:firstLine="357"/>
        <w:rPr>
          <w:rFonts w:ascii="Times New Roman" w:eastAsia="Times New Roman" w:hAnsi="Times New Roman" w:cs="Times New Roman"/>
          <w:sz w:val="24"/>
          <w:szCs w:val="24"/>
        </w:rPr>
      </w:pPr>
    </w:p>
    <w:p w14:paraId="3B2B1BCE" w14:textId="77777777" w:rsidR="00B33822" w:rsidRDefault="00072DA4" w:rsidP="00924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Cordialmente,</w:t>
      </w:r>
    </w:p>
    <w:p w14:paraId="7FD68AE5" w14:textId="2DA520E3" w:rsidR="00B33822" w:rsidRDefault="00B33822" w:rsidP="00924E73">
      <w:pPr>
        <w:spacing w:after="0" w:line="240" w:lineRule="auto"/>
        <w:ind w:firstLine="357"/>
        <w:rPr>
          <w:rFonts w:ascii="Times New Roman" w:eastAsia="Times New Roman" w:hAnsi="Times New Roman" w:cs="Times New Roman"/>
          <w:sz w:val="24"/>
          <w:szCs w:val="24"/>
        </w:rPr>
      </w:pPr>
    </w:p>
    <w:p w14:paraId="32EB6E0C" w14:textId="77777777" w:rsidR="00A27C80" w:rsidRDefault="00A27C80" w:rsidP="00924E73">
      <w:pPr>
        <w:spacing w:after="0" w:line="240" w:lineRule="auto"/>
        <w:ind w:firstLine="357"/>
        <w:rPr>
          <w:rFonts w:ascii="Times New Roman" w:eastAsia="Times New Roman" w:hAnsi="Times New Roman" w:cs="Times New Roman"/>
          <w:sz w:val="24"/>
          <w:szCs w:val="24"/>
        </w:rPr>
      </w:pPr>
    </w:p>
    <w:p w14:paraId="649B63F5" w14:textId="77777777" w:rsidR="00B33822" w:rsidRDefault="00B33822" w:rsidP="00924E73">
      <w:pPr>
        <w:spacing w:after="0" w:line="240" w:lineRule="auto"/>
        <w:ind w:firstLine="357"/>
        <w:rPr>
          <w:rFonts w:ascii="Times New Roman" w:eastAsia="Times New Roman" w:hAnsi="Times New Roman" w:cs="Times New Roman"/>
          <w:sz w:val="24"/>
          <w:szCs w:val="24"/>
        </w:rPr>
      </w:pPr>
    </w:p>
    <w:p w14:paraId="38569615" w14:textId="77777777" w:rsidR="00B33822" w:rsidRDefault="00B33822" w:rsidP="00924E73">
      <w:pPr>
        <w:spacing w:after="0" w:line="240" w:lineRule="auto"/>
        <w:ind w:firstLine="357"/>
        <w:rPr>
          <w:rFonts w:ascii="Times New Roman" w:eastAsia="Times New Roman" w:hAnsi="Times New Roman" w:cs="Times New Roman"/>
          <w:sz w:val="24"/>
          <w:szCs w:val="24"/>
        </w:rPr>
      </w:pPr>
    </w:p>
    <w:p w14:paraId="6CC86291" w14:textId="40EBB5AA" w:rsidR="00B33822" w:rsidRPr="00A27C80" w:rsidRDefault="00072DA4" w:rsidP="00924E73">
      <w:pPr>
        <w:spacing w:after="0" w:line="240" w:lineRule="auto"/>
        <w:rPr>
          <w:rFonts w:ascii="Times New Roman" w:eastAsia="Times New Roman" w:hAnsi="Times New Roman" w:cs="Times New Roman"/>
          <w:b/>
          <w:sz w:val="24"/>
          <w:szCs w:val="24"/>
        </w:rPr>
      </w:pPr>
      <w:r w:rsidRPr="00A27C80">
        <w:rPr>
          <w:rFonts w:ascii="Times New Roman" w:eastAsia="Times New Roman" w:hAnsi="Times New Roman" w:cs="Times New Roman"/>
          <w:b/>
          <w:sz w:val="24"/>
          <w:szCs w:val="24"/>
        </w:rPr>
        <w:t>ARMANDO GUTIÉRREZ GONZÁLEZ</w:t>
      </w:r>
      <w:r>
        <w:rPr>
          <w:rFonts w:ascii="Times New Roman" w:eastAsia="Times New Roman" w:hAnsi="Times New Roman" w:cs="Times New Roman"/>
          <w:sz w:val="24"/>
          <w:szCs w:val="24"/>
        </w:rPr>
        <w:t xml:space="preserve">      </w:t>
      </w:r>
      <w:r w:rsidRPr="00A27C80">
        <w:rPr>
          <w:rFonts w:ascii="Times New Roman" w:eastAsia="Times New Roman" w:hAnsi="Times New Roman" w:cs="Times New Roman"/>
          <w:b/>
          <w:sz w:val="24"/>
          <w:szCs w:val="24"/>
        </w:rPr>
        <w:t>ROCÍO DUSSÁN PÉREZ</w:t>
      </w:r>
    </w:p>
    <w:p w14:paraId="5E7A44B1" w14:textId="77777777" w:rsidR="00B33822" w:rsidRDefault="00072DA4" w:rsidP="00924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Concejal de Bogotá                                            Concejal de Bogotá</w:t>
      </w:r>
    </w:p>
    <w:p w14:paraId="13AA296C" w14:textId="77777777" w:rsidR="00B33822" w:rsidRDefault="00072DA4" w:rsidP="00924E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Partido Liberal Colombiano                               Polo Democrático Alternativo</w:t>
      </w:r>
    </w:p>
    <w:p w14:paraId="0203D607" w14:textId="77777777" w:rsidR="00B33822" w:rsidRDefault="00072DA4">
      <w:pPr>
        <w:spacing w:after="0" w:line="240" w:lineRule="auto"/>
        <w:ind w:firstLine="3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8366A16" w14:textId="77777777" w:rsidR="00B33822" w:rsidRDefault="00B33822">
      <w:pPr>
        <w:shd w:val="clear" w:color="auto" w:fill="FFFFFF"/>
        <w:spacing w:after="0" w:line="240" w:lineRule="auto"/>
        <w:ind w:firstLine="357"/>
        <w:rPr>
          <w:i/>
          <w:u w:val="single"/>
        </w:rPr>
      </w:pPr>
    </w:p>
    <w:p w14:paraId="0A90B9E5" w14:textId="77777777" w:rsidR="00B33822" w:rsidRDefault="00B33822">
      <w:pPr>
        <w:spacing w:after="0" w:line="240" w:lineRule="auto"/>
        <w:ind w:left="0"/>
        <w:rPr>
          <w:rFonts w:ascii="Times New Roman" w:eastAsia="Times New Roman" w:hAnsi="Times New Roman" w:cs="Times New Roman"/>
          <w:b/>
          <w:sz w:val="24"/>
          <w:szCs w:val="24"/>
        </w:rPr>
      </w:pPr>
    </w:p>
    <w:p w14:paraId="6D383FE2" w14:textId="77777777" w:rsidR="00B33822" w:rsidRDefault="00B33822">
      <w:pPr>
        <w:spacing w:after="0" w:line="240" w:lineRule="auto"/>
        <w:ind w:left="0"/>
        <w:rPr>
          <w:rFonts w:ascii="Times New Roman" w:eastAsia="Times New Roman" w:hAnsi="Times New Roman" w:cs="Times New Roman"/>
          <w:b/>
          <w:sz w:val="24"/>
          <w:szCs w:val="24"/>
        </w:rPr>
      </w:pPr>
    </w:p>
    <w:p w14:paraId="21F7BC10" w14:textId="77777777" w:rsidR="00B33822" w:rsidRDefault="00B33822">
      <w:pPr>
        <w:spacing w:after="0" w:line="240" w:lineRule="auto"/>
        <w:ind w:left="0"/>
        <w:rPr>
          <w:rFonts w:ascii="Times New Roman" w:eastAsia="Times New Roman" w:hAnsi="Times New Roman" w:cs="Times New Roman"/>
          <w:b/>
          <w:sz w:val="24"/>
          <w:szCs w:val="24"/>
        </w:rPr>
      </w:pPr>
    </w:p>
    <w:p w14:paraId="37F66823" w14:textId="77777777" w:rsidR="00B33822" w:rsidRDefault="00B33822">
      <w:pPr>
        <w:spacing w:after="0" w:line="240" w:lineRule="auto"/>
        <w:ind w:left="0"/>
        <w:rPr>
          <w:rFonts w:ascii="Times New Roman" w:eastAsia="Times New Roman" w:hAnsi="Times New Roman" w:cs="Times New Roman"/>
          <w:b/>
          <w:sz w:val="24"/>
          <w:szCs w:val="24"/>
        </w:rPr>
      </w:pPr>
    </w:p>
    <w:p w14:paraId="0305D4A5" w14:textId="77777777" w:rsidR="00B33822" w:rsidRDefault="00B33822">
      <w:pPr>
        <w:spacing w:after="0" w:line="240" w:lineRule="auto"/>
        <w:ind w:left="0"/>
        <w:rPr>
          <w:rFonts w:ascii="Times New Roman" w:eastAsia="Times New Roman" w:hAnsi="Times New Roman" w:cs="Times New Roman"/>
          <w:b/>
          <w:sz w:val="24"/>
          <w:szCs w:val="24"/>
        </w:rPr>
      </w:pPr>
    </w:p>
    <w:p w14:paraId="11BB6DD3" w14:textId="77777777" w:rsidR="00B33822" w:rsidRDefault="00B33822">
      <w:pPr>
        <w:spacing w:after="0" w:line="240" w:lineRule="auto"/>
        <w:ind w:left="0"/>
        <w:rPr>
          <w:rFonts w:ascii="Times New Roman" w:eastAsia="Times New Roman" w:hAnsi="Times New Roman" w:cs="Times New Roman"/>
          <w:b/>
          <w:sz w:val="24"/>
          <w:szCs w:val="24"/>
        </w:rPr>
      </w:pPr>
    </w:p>
    <w:p w14:paraId="5E70EDC0" w14:textId="77777777" w:rsidR="00B33822" w:rsidRDefault="00B33822">
      <w:pPr>
        <w:spacing w:after="0" w:line="240" w:lineRule="auto"/>
        <w:ind w:left="0"/>
        <w:rPr>
          <w:rFonts w:ascii="Times New Roman" w:eastAsia="Times New Roman" w:hAnsi="Times New Roman" w:cs="Times New Roman"/>
          <w:b/>
          <w:sz w:val="24"/>
          <w:szCs w:val="24"/>
        </w:rPr>
      </w:pPr>
    </w:p>
    <w:p w14:paraId="03C67942" w14:textId="77777777" w:rsidR="00B33822" w:rsidRDefault="00072DA4">
      <w:pPr>
        <w:spacing w:after="0" w:line="240" w:lineRule="auto"/>
        <w:ind w:left="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PONENCIA PROYECTO DE ACUERDO N° </w:t>
      </w:r>
      <w:r>
        <w:rPr>
          <w:rFonts w:ascii="Times New Roman" w:eastAsia="Times New Roman" w:hAnsi="Times New Roman" w:cs="Times New Roman"/>
          <w:b/>
          <w:sz w:val="24"/>
          <w:szCs w:val="24"/>
          <w:u w:val="single"/>
        </w:rPr>
        <w:t xml:space="preserve">177 </w:t>
      </w:r>
      <w:r>
        <w:rPr>
          <w:rFonts w:ascii="Times New Roman" w:eastAsia="Times New Roman" w:hAnsi="Times New Roman" w:cs="Times New Roman"/>
          <w:b/>
          <w:sz w:val="24"/>
          <w:szCs w:val="24"/>
        </w:rPr>
        <w:t xml:space="preserve"> DE 202</w:t>
      </w:r>
      <w:r>
        <w:rPr>
          <w:rFonts w:ascii="Times New Roman" w:eastAsia="Times New Roman" w:hAnsi="Times New Roman" w:cs="Times New Roman"/>
          <w:b/>
          <w:sz w:val="24"/>
          <w:szCs w:val="24"/>
          <w:u w:val="single"/>
        </w:rPr>
        <w:t>5</w:t>
      </w:r>
    </w:p>
    <w:p w14:paraId="70268EC6" w14:textId="77777777" w:rsidR="00B33822" w:rsidRDefault="00B33822">
      <w:pPr>
        <w:spacing w:after="0" w:line="240" w:lineRule="auto"/>
        <w:ind w:left="0"/>
        <w:jc w:val="center"/>
        <w:rPr>
          <w:rFonts w:ascii="Times New Roman" w:eastAsia="Times New Roman" w:hAnsi="Times New Roman" w:cs="Times New Roman"/>
          <w:b/>
          <w:sz w:val="24"/>
          <w:szCs w:val="24"/>
          <w:u w:val="single"/>
        </w:rPr>
      </w:pPr>
    </w:p>
    <w:p w14:paraId="12402BCE" w14:textId="77777777" w:rsidR="00B33822" w:rsidRDefault="00072DA4">
      <w:pPr>
        <w:spacing w:after="0" w:line="240" w:lineRule="auto"/>
        <w:ind w:firstLine="357"/>
        <w:jc w:val="center"/>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“POR MEDIO DEL CUAL SE IMPLEMENTA LA LÍNEA DE ATENCIÓN Y ORIENTACIÓN DEL ADULTO MAYOR”.</w:t>
      </w:r>
      <w:r>
        <w:rPr>
          <w:rFonts w:ascii="Times New Roman" w:eastAsia="Times New Roman" w:hAnsi="Times New Roman" w:cs="Times New Roman"/>
          <w:b/>
          <w:i/>
          <w:sz w:val="24"/>
          <w:szCs w:val="24"/>
        </w:rPr>
        <w:t xml:space="preserve"> </w:t>
      </w:r>
    </w:p>
    <w:p w14:paraId="169023BC" w14:textId="77777777" w:rsidR="00B33822" w:rsidRDefault="00B33822">
      <w:pPr>
        <w:spacing w:after="0" w:line="240" w:lineRule="auto"/>
        <w:ind w:left="0"/>
        <w:jc w:val="center"/>
        <w:rPr>
          <w:rFonts w:ascii="Times New Roman" w:eastAsia="Times New Roman" w:hAnsi="Times New Roman" w:cs="Times New Roman"/>
          <w:b/>
          <w:sz w:val="24"/>
          <w:szCs w:val="24"/>
        </w:rPr>
      </w:pPr>
    </w:p>
    <w:p w14:paraId="32B796B3" w14:textId="77777777" w:rsidR="00B33822" w:rsidRDefault="00072DA4">
      <w:pPr>
        <w:numPr>
          <w:ilvl w:val="0"/>
          <w:numId w:val="8"/>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OBJETO DEL PROYECTO DE ACUERDO</w:t>
      </w:r>
    </w:p>
    <w:p w14:paraId="481D1BBB" w14:textId="77777777" w:rsidR="00B33822" w:rsidRDefault="00B33822">
      <w:pPr>
        <w:pBdr>
          <w:top w:val="nil"/>
          <w:left w:val="nil"/>
          <w:bottom w:val="nil"/>
          <w:right w:val="nil"/>
          <w:between w:val="nil"/>
        </w:pBdr>
        <w:spacing w:after="0" w:line="240" w:lineRule="auto"/>
        <w:ind w:left="720"/>
        <w:rPr>
          <w:rFonts w:ascii="Times New Roman" w:eastAsia="Times New Roman" w:hAnsi="Times New Roman" w:cs="Times New Roman"/>
          <w:b/>
          <w:sz w:val="24"/>
          <w:szCs w:val="24"/>
        </w:rPr>
      </w:pPr>
    </w:p>
    <w:p w14:paraId="1FBDB272"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“Esta iniciativa tiene como objetivo específico la </w:t>
      </w:r>
      <w:r>
        <w:rPr>
          <w:rFonts w:ascii="Times New Roman" w:eastAsia="Times New Roman" w:hAnsi="Times New Roman" w:cs="Times New Roman"/>
          <w:b/>
          <w:sz w:val="24"/>
          <w:szCs w:val="24"/>
        </w:rPr>
        <w:t>creación de la línea de atención y orientación para atención del adulto mayor en la ciudad de Bogotá</w:t>
      </w:r>
      <w:r>
        <w:rPr>
          <w:rFonts w:ascii="Times New Roman" w:eastAsia="Times New Roman" w:hAnsi="Times New Roman" w:cs="Times New Roman"/>
          <w:sz w:val="24"/>
          <w:szCs w:val="24"/>
        </w:rPr>
        <w:t>, con el fin de proteger de manera oportuna la vida y la integridad de esta población y de esta manera garantizar una vejez digna y de calidad”.</w:t>
      </w:r>
    </w:p>
    <w:p w14:paraId="2AFF38FB" w14:textId="77777777" w:rsidR="00B33822" w:rsidRDefault="00B33822">
      <w:pPr>
        <w:spacing w:after="0" w:line="240" w:lineRule="auto"/>
        <w:ind w:left="0"/>
        <w:rPr>
          <w:rFonts w:ascii="Times New Roman" w:eastAsia="Times New Roman" w:hAnsi="Times New Roman" w:cs="Times New Roman"/>
          <w:sz w:val="24"/>
          <w:szCs w:val="24"/>
        </w:rPr>
      </w:pPr>
    </w:p>
    <w:p w14:paraId="1C39AF68" w14:textId="77777777" w:rsidR="00B33822" w:rsidRDefault="00072DA4">
      <w:pPr>
        <w:spacing w:after="0"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2. ANTECEDENTES</w:t>
      </w:r>
    </w:p>
    <w:p w14:paraId="6C0AE16D" w14:textId="77777777" w:rsidR="00B33822" w:rsidRDefault="00B33822">
      <w:pPr>
        <w:spacing w:after="0" w:line="240" w:lineRule="auto"/>
        <w:ind w:left="360"/>
        <w:rPr>
          <w:rFonts w:ascii="Times New Roman" w:eastAsia="Times New Roman" w:hAnsi="Times New Roman" w:cs="Times New Roman"/>
          <w:b/>
          <w:sz w:val="24"/>
          <w:szCs w:val="24"/>
        </w:rPr>
      </w:pPr>
    </w:p>
    <w:p w14:paraId="7876F8B9"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iniciativa, puesta a consideración del Cabildo Distrital, ha sido presentada en tres (3) oportunidades:</w:t>
      </w:r>
    </w:p>
    <w:p w14:paraId="0730C13B" w14:textId="77777777" w:rsidR="00B33822" w:rsidRDefault="00B33822">
      <w:pPr>
        <w:spacing w:after="0" w:line="240" w:lineRule="auto"/>
        <w:ind w:left="0"/>
        <w:rPr>
          <w:rFonts w:ascii="Times New Roman" w:eastAsia="Times New Roman" w:hAnsi="Times New Roman" w:cs="Times New Roman"/>
          <w:b/>
          <w:sz w:val="24"/>
          <w:szCs w:val="24"/>
        </w:rPr>
      </w:pPr>
    </w:p>
    <w:p w14:paraId="747196D3" w14:textId="77777777" w:rsidR="00B33822" w:rsidRDefault="00072DA4">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Tabla 1</w:t>
      </w:r>
    </w:p>
    <w:p w14:paraId="44B404CD" w14:textId="77777777" w:rsidR="00B33822" w:rsidRDefault="00B33822">
      <w:pPr>
        <w:spacing w:after="0" w:line="240" w:lineRule="auto"/>
        <w:ind w:left="0"/>
        <w:rPr>
          <w:rFonts w:ascii="Times New Roman" w:eastAsia="Times New Roman" w:hAnsi="Times New Roman" w:cs="Times New Roman"/>
          <w:color w:val="FF0000"/>
        </w:rPr>
      </w:pPr>
    </w:p>
    <w:p w14:paraId="492918BE" w14:textId="77777777" w:rsidR="00B33822" w:rsidRDefault="00072DA4">
      <w:pPr>
        <w:spacing w:after="0" w:line="240" w:lineRule="auto"/>
        <w:ind w:left="0"/>
        <w:rPr>
          <w:rFonts w:ascii="Times New Roman" w:eastAsia="Times New Roman" w:hAnsi="Times New Roman" w:cs="Times New Roman"/>
          <w:i/>
        </w:rPr>
      </w:pPr>
      <w:r>
        <w:rPr>
          <w:rFonts w:ascii="Times New Roman" w:eastAsia="Times New Roman" w:hAnsi="Times New Roman" w:cs="Times New Roman"/>
          <w:i/>
        </w:rPr>
        <w:t>Antecedentes del Proyecto de Acuerdo 171 de 2025</w:t>
      </w:r>
    </w:p>
    <w:tbl>
      <w:tblPr>
        <w:tblStyle w:val="a"/>
        <w:tblW w:w="8095" w:type="dxa"/>
        <w:tblInd w:w="407" w:type="dxa"/>
        <w:tblLayout w:type="fixed"/>
        <w:tblLook w:val="0400" w:firstRow="0" w:lastRow="0" w:firstColumn="0" w:lastColumn="0" w:noHBand="0" w:noVBand="1"/>
      </w:tblPr>
      <w:tblGrid>
        <w:gridCol w:w="708"/>
        <w:gridCol w:w="1619"/>
        <w:gridCol w:w="2884"/>
        <w:gridCol w:w="2884"/>
      </w:tblGrid>
      <w:tr w:rsidR="00B33822" w14:paraId="659DD820" w14:textId="77777777">
        <w:trPr>
          <w:trHeight w:val="600"/>
          <w:tblHeader/>
        </w:trPr>
        <w:tc>
          <w:tcPr>
            <w:tcW w:w="7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A71CEC"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NO. </w:t>
            </w:r>
          </w:p>
        </w:tc>
        <w:tc>
          <w:tcPr>
            <w:tcW w:w="1619" w:type="dxa"/>
            <w:tcBorders>
              <w:top w:val="single" w:sz="4" w:space="0" w:color="000000"/>
              <w:left w:val="nil"/>
              <w:bottom w:val="single" w:sz="4" w:space="0" w:color="000000"/>
              <w:right w:val="single" w:sz="4" w:space="0" w:color="000000"/>
            </w:tcBorders>
            <w:shd w:val="clear" w:color="auto" w:fill="D9D9D9"/>
            <w:vAlign w:val="center"/>
          </w:tcPr>
          <w:p w14:paraId="4E0D52CA"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FECHA RADICACIÓN</w:t>
            </w:r>
          </w:p>
        </w:tc>
        <w:tc>
          <w:tcPr>
            <w:tcW w:w="2884" w:type="dxa"/>
            <w:tcBorders>
              <w:top w:val="single" w:sz="4" w:space="0" w:color="000000"/>
              <w:left w:val="nil"/>
              <w:bottom w:val="single" w:sz="4" w:space="0" w:color="000000"/>
              <w:right w:val="single" w:sz="4" w:space="0" w:color="000000"/>
            </w:tcBorders>
            <w:shd w:val="clear" w:color="auto" w:fill="D9D9D9"/>
            <w:vAlign w:val="center"/>
          </w:tcPr>
          <w:p w14:paraId="702DED0A"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PONENTES</w:t>
            </w:r>
          </w:p>
        </w:tc>
        <w:tc>
          <w:tcPr>
            <w:tcW w:w="2884" w:type="dxa"/>
            <w:tcBorders>
              <w:top w:val="single" w:sz="4" w:space="0" w:color="000000"/>
              <w:left w:val="nil"/>
              <w:bottom w:val="single" w:sz="4" w:space="0" w:color="000000"/>
              <w:right w:val="single" w:sz="4" w:space="0" w:color="000000"/>
            </w:tcBorders>
            <w:shd w:val="clear" w:color="auto" w:fill="D9D9D9"/>
            <w:vAlign w:val="center"/>
          </w:tcPr>
          <w:p w14:paraId="2CEB9AC9"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TRÁMITE</w:t>
            </w:r>
          </w:p>
        </w:tc>
      </w:tr>
      <w:tr w:rsidR="00B33822" w14:paraId="5CAEF23B" w14:textId="77777777">
        <w:trPr>
          <w:trHeight w:val="997"/>
        </w:trPr>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92BEC" w14:textId="77777777" w:rsidR="00B33822" w:rsidRDefault="00B33822">
            <w:pPr>
              <w:spacing w:after="0" w:line="240" w:lineRule="auto"/>
              <w:ind w:left="0"/>
              <w:jc w:val="center"/>
              <w:rPr>
                <w:rFonts w:ascii="Times New Roman" w:eastAsia="Times New Roman" w:hAnsi="Times New Roman" w:cs="Times New Roman"/>
                <w:sz w:val="20"/>
                <w:szCs w:val="20"/>
              </w:rPr>
            </w:pPr>
          </w:p>
          <w:p w14:paraId="0A96F6F2"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397 de 2024</w:t>
            </w:r>
          </w:p>
        </w:tc>
        <w:tc>
          <w:tcPr>
            <w:tcW w:w="1619" w:type="dxa"/>
            <w:tcBorders>
              <w:top w:val="single" w:sz="4" w:space="0" w:color="000000"/>
              <w:left w:val="nil"/>
              <w:bottom w:val="single" w:sz="4" w:space="0" w:color="000000"/>
              <w:right w:val="single" w:sz="4" w:space="0" w:color="000000"/>
            </w:tcBorders>
            <w:shd w:val="clear" w:color="auto" w:fill="FFFFFF"/>
            <w:vAlign w:val="center"/>
          </w:tcPr>
          <w:p w14:paraId="5C8C5F47" w14:textId="77777777" w:rsidR="00B33822" w:rsidRDefault="00B33822">
            <w:pPr>
              <w:spacing w:after="0" w:line="240" w:lineRule="auto"/>
              <w:ind w:left="0"/>
              <w:jc w:val="center"/>
              <w:rPr>
                <w:rFonts w:ascii="Times New Roman" w:eastAsia="Times New Roman" w:hAnsi="Times New Roman" w:cs="Times New Roman"/>
                <w:sz w:val="20"/>
                <w:szCs w:val="20"/>
              </w:rPr>
            </w:pPr>
          </w:p>
          <w:p w14:paraId="10301DEF"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05/06/2024</w:t>
            </w:r>
          </w:p>
          <w:p w14:paraId="20F905F6" w14:textId="77777777" w:rsidR="00B33822" w:rsidRDefault="00B33822">
            <w:pPr>
              <w:spacing w:after="0" w:line="240" w:lineRule="auto"/>
              <w:ind w:left="0"/>
              <w:jc w:val="center"/>
              <w:rPr>
                <w:rFonts w:ascii="Times New Roman" w:eastAsia="Times New Roman" w:hAnsi="Times New Roman" w:cs="Times New Roman"/>
                <w:sz w:val="20"/>
                <w:szCs w:val="20"/>
              </w:rPr>
            </w:pPr>
          </w:p>
        </w:tc>
        <w:tc>
          <w:tcPr>
            <w:tcW w:w="2884" w:type="dxa"/>
            <w:tcBorders>
              <w:top w:val="single" w:sz="4" w:space="0" w:color="000000"/>
              <w:left w:val="nil"/>
              <w:bottom w:val="single" w:sz="4" w:space="0" w:color="000000"/>
              <w:right w:val="single" w:sz="4" w:space="0" w:color="000000"/>
            </w:tcBorders>
            <w:shd w:val="clear" w:color="auto" w:fill="FFFFFF"/>
            <w:vAlign w:val="center"/>
          </w:tcPr>
          <w:p w14:paraId="0C666152" w14:textId="77777777" w:rsidR="00B33822" w:rsidRDefault="00072DA4">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c>
          <w:tcPr>
            <w:tcW w:w="2884" w:type="dxa"/>
            <w:tcBorders>
              <w:top w:val="single" w:sz="4" w:space="0" w:color="000000"/>
              <w:left w:val="nil"/>
              <w:bottom w:val="single" w:sz="4" w:space="0" w:color="000000"/>
              <w:right w:val="single" w:sz="4" w:space="0" w:color="000000"/>
            </w:tcBorders>
            <w:shd w:val="clear" w:color="auto" w:fill="FFFFFF"/>
            <w:vAlign w:val="center"/>
          </w:tcPr>
          <w:p w14:paraId="4EB04E0C" w14:textId="77777777" w:rsidR="00B33822" w:rsidRDefault="00072DA4">
            <w:pPr>
              <w:tabs>
                <w:tab w:val="left" w:pos="1418"/>
              </w:tabs>
              <w:spacing w:after="0" w:line="240" w:lineRule="auto"/>
              <w:ind w:left="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Archivado en virtud del artículo 79 del Acuerdo 741 de 2019.</w:t>
            </w:r>
          </w:p>
        </w:tc>
      </w:tr>
      <w:tr w:rsidR="00B33822" w14:paraId="3979C3D1" w14:textId="77777777">
        <w:trPr>
          <w:trHeight w:val="997"/>
        </w:trPr>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FB366"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570 de 2024</w:t>
            </w:r>
          </w:p>
        </w:tc>
        <w:tc>
          <w:tcPr>
            <w:tcW w:w="1619" w:type="dxa"/>
            <w:tcBorders>
              <w:top w:val="single" w:sz="4" w:space="0" w:color="000000"/>
              <w:left w:val="nil"/>
              <w:bottom w:val="single" w:sz="4" w:space="0" w:color="000000"/>
              <w:right w:val="single" w:sz="4" w:space="0" w:color="000000"/>
            </w:tcBorders>
            <w:shd w:val="clear" w:color="auto" w:fill="FFFFFF"/>
            <w:vAlign w:val="center"/>
          </w:tcPr>
          <w:p w14:paraId="29E23476"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25/07/2024</w:t>
            </w:r>
          </w:p>
        </w:tc>
        <w:tc>
          <w:tcPr>
            <w:tcW w:w="2884" w:type="dxa"/>
            <w:tcBorders>
              <w:top w:val="single" w:sz="4" w:space="0" w:color="000000"/>
              <w:left w:val="nil"/>
              <w:bottom w:val="single" w:sz="4" w:space="0" w:color="000000"/>
              <w:right w:val="single" w:sz="4" w:space="0" w:color="000000"/>
            </w:tcBorders>
            <w:shd w:val="clear" w:color="auto" w:fill="FFFFFF"/>
            <w:vAlign w:val="center"/>
          </w:tcPr>
          <w:p w14:paraId="660355A0" w14:textId="77777777" w:rsidR="00B33822" w:rsidRDefault="00072DA4">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H.C. Edward Aníbal Arias Rubio (coordinador) - Ponencia positiva</w:t>
            </w:r>
          </w:p>
          <w:p w14:paraId="28F8D543" w14:textId="77777777" w:rsidR="00B33822" w:rsidRDefault="00B33822">
            <w:pPr>
              <w:spacing w:after="0" w:line="240" w:lineRule="auto"/>
              <w:ind w:left="0"/>
              <w:rPr>
                <w:rFonts w:ascii="Times New Roman" w:eastAsia="Times New Roman" w:hAnsi="Times New Roman" w:cs="Times New Roman"/>
                <w:sz w:val="20"/>
                <w:szCs w:val="20"/>
              </w:rPr>
            </w:pPr>
          </w:p>
          <w:p w14:paraId="6D1A21A9" w14:textId="77777777" w:rsidR="00B33822" w:rsidRDefault="00072DA4">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H.C. Diana Marcela Diago Guaqueta - Ponencia positiva con modificaciones</w:t>
            </w:r>
          </w:p>
        </w:tc>
        <w:tc>
          <w:tcPr>
            <w:tcW w:w="2884" w:type="dxa"/>
            <w:tcBorders>
              <w:top w:val="single" w:sz="4" w:space="0" w:color="000000"/>
              <w:left w:val="nil"/>
              <w:bottom w:val="single" w:sz="4" w:space="0" w:color="000000"/>
              <w:right w:val="single" w:sz="4" w:space="0" w:color="000000"/>
            </w:tcBorders>
            <w:shd w:val="clear" w:color="auto" w:fill="FFFFFF"/>
            <w:vAlign w:val="center"/>
          </w:tcPr>
          <w:p w14:paraId="1E8A44B0" w14:textId="77777777" w:rsidR="00B33822" w:rsidRDefault="00072DA4">
            <w:pPr>
              <w:tabs>
                <w:tab w:val="left" w:pos="1418"/>
              </w:tabs>
              <w:spacing w:after="0" w:line="240" w:lineRule="auto"/>
              <w:ind w:left="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Archivado en virtud del artículo 79 del Acuerdo 741 de 2019.</w:t>
            </w:r>
          </w:p>
        </w:tc>
      </w:tr>
      <w:tr w:rsidR="00B33822" w14:paraId="6C5187CA" w14:textId="77777777">
        <w:trPr>
          <w:trHeight w:val="997"/>
        </w:trPr>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A0564"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817 de 2024</w:t>
            </w:r>
          </w:p>
        </w:tc>
        <w:tc>
          <w:tcPr>
            <w:tcW w:w="1619" w:type="dxa"/>
            <w:tcBorders>
              <w:top w:val="single" w:sz="4" w:space="0" w:color="000000"/>
              <w:left w:val="nil"/>
              <w:bottom w:val="single" w:sz="4" w:space="0" w:color="000000"/>
              <w:right w:val="single" w:sz="4" w:space="0" w:color="000000"/>
            </w:tcBorders>
            <w:shd w:val="clear" w:color="auto" w:fill="FFFFFF"/>
            <w:vAlign w:val="center"/>
          </w:tcPr>
          <w:p w14:paraId="0B8D865A"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25/10/2024</w:t>
            </w:r>
          </w:p>
        </w:tc>
        <w:tc>
          <w:tcPr>
            <w:tcW w:w="2884" w:type="dxa"/>
            <w:tcBorders>
              <w:top w:val="single" w:sz="4" w:space="0" w:color="000000"/>
              <w:left w:val="nil"/>
              <w:bottom w:val="single" w:sz="4" w:space="0" w:color="000000"/>
              <w:right w:val="single" w:sz="4" w:space="0" w:color="000000"/>
            </w:tcBorders>
            <w:shd w:val="clear" w:color="auto" w:fill="FFFFFF"/>
            <w:vAlign w:val="center"/>
          </w:tcPr>
          <w:p w14:paraId="4F67E6F0" w14:textId="77777777" w:rsidR="00B33822" w:rsidRDefault="00072DA4">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H.C. Edward Aníbal Arias Rubio (coordinador) - Ponencia positiva</w:t>
            </w:r>
          </w:p>
          <w:p w14:paraId="60136086" w14:textId="77777777" w:rsidR="00B33822" w:rsidRDefault="00B33822">
            <w:pPr>
              <w:spacing w:after="0" w:line="240" w:lineRule="auto"/>
              <w:ind w:left="0"/>
              <w:rPr>
                <w:rFonts w:ascii="Times New Roman" w:eastAsia="Times New Roman" w:hAnsi="Times New Roman" w:cs="Times New Roman"/>
                <w:sz w:val="20"/>
                <w:szCs w:val="20"/>
              </w:rPr>
            </w:pPr>
          </w:p>
          <w:p w14:paraId="626ADEA0" w14:textId="77777777" w:rsidR="00B33822" w:rsidRDefault="00072DA4">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H.C. Diana Marcela Diago Guaqueta - Ponencia positiva con modificaciones</w:t>
            </w:r>
          </w:p>
        </w:tc>
        <w:tc>
          <w:tcPr>
            <w:tcW w:w="2884" w:type="dxa"/>
            <w:tcBorders>
              <w:top w:val="single" w:sz="4" w:space="0" w:color="000000"/>
              <w:left w:val="nil"/>
              <w:bottom w:val="single" w:sz="4" w:space="0" w:color="000000"/>
              <w:right w:val="single" w:sz="4" w:space="0" w:color="000000"/>
            </w:tcBorders>
            <w:shd w:val="clear" w:color="auto" w:fill="FFFFFF"/>
            <w:vAlign w:val="center"/>
          </w:tcPr>
          <w:p w14:paraId="38EB9A2F" w14:textId="77777777" w:rsidR="00B33822" w:rsidRDefault="00072DA4">
            <w:pPr>
              <w:tabs>
                <w:tab w:val="left" w:pos="1418"/>
              </w:tabs>
              <w:spacing w:after="0" w:line="240" w:lineRule="auto"/>
              <w:ind w:left="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Desarchivo del P.A. 570 de 2024.</w:t>
            </w:r>
          </w:p>
          <w:p w14:paraId="4186D2CB" w14:textId="77777777" w:rsidR="00B33822" w:rsidRDefault="00072DA4">
            <w:pPr>
              <w:tabs>
                <w:tab w:val="left" w:pos="1418"/>
              </w:tabs>
              <w:spacing w:after="0" w:line="240" w:lineRule="auto"/>
              <w:ind w:left="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Archivado en virtud del artículo 79 del Acuerdo 741 de 2019.</w:t>
            </w:r>
          </w:p>
        </w:tc>
      </w:tr>
    </w:tbl>
    <w:p w14:paraId="0ED34C9E" w14:textId="77777777" w:rsidR="00B33822" w:rsidRDefault="00072DA4">
      <w:pPr>
        <w:pBdr>
          <w:top w:val="nil"/>
          <w:left w:val="nil"/>
          <w:bottom w:val="nil"/>
          <w:right w:val="nil"/>
          <w:between w:val="nil"/>
        </w:pBd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sz w:val="20"/>
          <w:szCs w:val="20"/>
        </w:rPr>
        <w:t>Fuente: Elaboración propia a partir de información de la Secretaría General del Concejo de Bogotá D.C.</w:t>
      </w:r>
    </w:p>
    <w:p w14:paraId="5B2F0304"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14:paraId="24F3DDD5"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3. JUSTIFICACIÓN DEL AUTOR PARA PRESENTAR EL PROYECTO DE ACUERDO</w:t>
      </w:r>
    </w:p>
    <w:p w14:paraId="3A91FEB5"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 </w:t>
      </w:r>
    </w:p>
    <w:p w14:paraId="0DE546CA"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El Estado social de derecho tiene la obligación de garantizar los derechos de todos los ciudadanos, especialmente de las personas mayores que son sujetos de derecho y de especial protección constitucional.</w:t>
      </w:r>
    </w:p>
    <w:p w14:paraId="2FD96F7A"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439668B9"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Las Naciones Unidas han declarado la necesidad de garantizar la participación de las personas mayores en todos los ámbitos de la vida social. Sin embargo, esta población con frecuencia está sujeta a discriminación, abandono, exclusión en razón de la edad y otras violaciones. De acuerdo con la Organización Mundial de la Salud (OMS), el maltrato a las personas de edad puede consistir en actos que ocasionen daño o sufrimiento o la falta de medidas apropiadas para evitarlos. Existen distintos tipos de violencia como: física, psicológica, sexual, económica, abandono, entre otras.</w:t>
      </w:r>
    </w:p>
    <w:p w14:paraId="7C3C4D08"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30642537"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el año 2023 (enero-febrero) se presentaron en el país 1.652 lesiones no fatales en personas mayores. Para los mismos meses del año 2024 esta cifra ascendió a 1.884, lo que demuestra la necesidad de atender de manera oportuna estos casos.</w:t>
      </w:r>
    </w:p>
    <w:p w14:paraId="0CF48BD2"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1CA4ACCA"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Ahora bien, según la Subdirección para la Vejez de la Secretaría Distrital de Integración Social, en Bogotá hay 1.226.175 personas mayores de 60 años, de las cuales el 58% equivale a mujeres (711.332) y el 42% a hombres (514.843); y representan una proporción del 15,39% en relación con la población total de la ciudad. Adicionalmente, 314.040 personas mayores se encuentran en pobreza monetaria, es decir, una cuarta parte, mientras que 59.301 están en pobreza multidimensional (5,2%).</w:t>
      </w:r>
    </w:p>
    <w:p w14:paraId="74858F61"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42DA7FD0"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Respecto al abandono de personas mayores en Bogotá, la Secretaría Distrital de Integración Social registró 43 casos de abandono en 2020, 48 en 2021 y 86 en 2022. Para el primer trimestre de 2023, se registraron 24 casos. En este contexto se resalta la necesidad de que el estado brinde mecanismos de escucha, orientación, atención, acompañamiento, seguimiento y protección oportuno en casos de violencia y abandono. </w:t>
      </w:r>
    </w:p>
    <w:p w14:paraId="536626E7"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10EF4BAE"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También es clave la iniciativa por cuanto la proyección de población mayor de 60 años en Colombia y en la capital tenderá a aumentar, lo que implica crear estrategias y articular esfuerzos para atender las necesidades crecientes de esta población.</w:t>
      </w:r>
    </w:p>
    <w:p w14:paraId="47370AEE"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25AB398F"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 mencionan algunas experiencias internacionales como la de Andalucía, donde existe una línea de atención a esta población. Se trata de un servicio gratuito en el marco de las políticas de promoción de la autonomía personal y prevención de posibles situaciones de riesgo.</w:t>
      </w:r>
    </w:p>
    <w:p w14:paraId="34CBE869"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0D9FC63C"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Los autores argumentan que la conveniencia del proyecto radica en que, al crear la línea donde se cuente con profesionales especializados brindando atención a las personas mayores, se aportará a mejorar su calidad de vida, especialmente a aquellas en mayor condición de vulnerabilidad. </w:t>
      </w:r>
    </w:p>
    <w:p w14:paraId="4584A737"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30EE213F"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4. MARCO JURÍDICO</w:t>
      </w:r>
    </w:p>
    <w:p w14:paraId="3A7E3D76"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14:paraId="1808ADF6" w14:textId="77777777" w:rsidR="00B33822" w:rsidRDefault="00072DA4">
      <w:pPr>
        <w:spacing w:after="0" w:line="240" w:lineRule="auto"/>
        <w:ind w:left="0"/>
        <w:jc w:val="lef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5.1. Bloque de Convencionalidad</w:t>
      </w:r>
    </w:p>
    <w:p w14:paraId="200684E5" w14:textId="77777777" w:rsidR="00B33822" w:rsidRDefault="00B33822">
      <w:pPr>
        <w:spacing w:after="0" w:line="240" w:lineRule="auto"/>
        <w:ind w:left="0"/>
        <w:jc w:val="left"/>
        <w:rPr>
          <w:rFonts w:ascii="Times New Roman" w:eastAsia="Times New Roman" w:hAnsi="Times New Roman" w:cs="Times New Roman"/>
          <w:b/>
          <w:i/>
          <w:sz w:val="24"/>
          <w:szCs w:val="24"/>
        </w:rPr>
      </w:pPr>
    </w:p>
    <w:p w14:paraId="35250674" w14:textId="77777777" w:rsidR="00B33822" w:rsidRDefault="00072DA4">
      <w:pPr>
        <w:spacing w:after="0" w:line="240" w:lineRule="auto"/>
        <w:ind w:left="0"/>
        <w:jc w:val="lef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5.1.1 De los Tratados Internacionales aplicados al adulto mayor</w:t>
      </w:r>
      <w:r>
        <w:rPr>
          <w:rFonts w:ascii="Times New Roman" w:eastAsia="Times New Roman" w:hAnsi="Times New Roman" w:cs="Times New Roman"/>
          <w:i/>
          <w:sz w:val="24"/>
          <w:szCs w:val="24"/>
          <w:vertAlign w:val="superscript"/>
        </w:rPr>
        <w:footnoteReference w:id="1"/>
      </w:r>
    </w:p>
    <w:p w14:paraId="7CA32604"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Asamblea General de las Naciones Unidas reconociendo las aportaciones que los Adultos Mayores hacen a sus respectivas sociedades, reconociendo que en la Carta de las Naciones Unidas los pueblos de las naciones unidas expresan, entre otras cosas, su determinación de reafirmar su fe en los derechos fundamentales del hombre, en la dignidad y el valor de la persona humana y en la igualdad de derechos de hombres y mujeres y de las naciones grandes y pequeñas, y de promover el progreso social y elevar el nivel de vida dentro de un concepto más amplio de la libertad, tomando nota de que esos derechos se enuncian en detalle en la Declaración Universal de Derechos Humanos, en el Pacto Internacional ,en cumplimiento del Plan de Acción Internacional sobre el Envejecimiento aprobado por la Asamblea Mundial sobre el Envejecimiento y hecho suyo por la Asamblea General en su resolución 37/51, de 3 de diciembre de 1982, alienta a los gobiernos de cada país a introducir una serie de principios en sus programas nacionales, que contribuyan a mejorar la calidad de vida de los Adultos Mayores.</w:t>
      </w:r>
    </w:p>
    <w:p w14:paraId="19F65440" w14:textId="77777777" w:rsidR="00B33822" w:rsidRDefault="00B33822">
      <w:pPr>
        <w:spacing w:after="0" w:line="240" w:lineRule="auto"/>
        <w:ind w:left="0"/>
        <w:rPr>
          <w:rFonts w:ascii="Times New Roman" w:eastAsia="Times New Roman" w:hAnsi="Times New Roman" w:cs="Times New Roman"/>
          <w:i/>
          <w:sz w:val="24"/>
          <w:szCs w:val="24"/>
        </w:rPr>
      </w:pPr>
    </w:p>
    <w:p w14:paraId="1A0AEB33"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Los Estados Miembros de la OEA, a través de cuatro resoluciones consecutivas de la Asamblea General entre los años 2009 y 2012, han reafirmado la necesidad de elaborar un instrumento interamericano sobre los derechos de las personas mayores. Para tal fin, la Secretaría Ejecutiva para el Desarrollo Integral, a través del Departamento de Desarrollo Social y Empleo, acompaña a los Estados Miembros en el proceso, junto con la sociedad civil, con acciones tendientes a la creación de conciencia y difusión de la importancia del tema, así como el estudio y promoción de buenas políticas públicas dirigidas a la tutela de los derechos humanos de los Adultos Mayores.</w:t>
      </w:r>
    </w:p>
    <w:p w14:paraId="2FEDD61A" w14:textId="77777777" w:rsidR="00B33822" w:rsidRDefault="00B33822">
      <w:pPr>
        <w:spacing w:after="0" w:line="240" w:lineRule="auto"/>
        <w:ind w:left="0"/>
        <w:rPr>
          <w:rFonts w:ascii="Times New Roman" w:eastAsia="Times New Roman" w:hAnsi="Times New Roman" w:cs="Times New Roman"/>
          <w:i/>
          <w:sz w:val="24"/>
          <w:szCs w:val="24"/>
        </w:rPr>
      </w:pPr>
    </w:p>
    <w:p w14:paraId="523B5D5D"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Que se cumplan plenamente los derechos instaurados específicamente para los adultos mayores. Considerando, entre otras, que el adulto mayor es amparado como ser humano igual en derechos a todas los demás integrantes de la sociedad, por la Declaración Universal de los Derechos Humanos (art. 25, numeral 1), el Plan de Acción Internacional de Viena sobre el Envejecimiento, la Resolución de la Asamblea General de las Naciones Unidas No. 40/30 de 29-11-85, la Resolución de la Asamblea General de las Naciones Unidas No. 44/77 de 8-12-89, y la Conferencia Internacional sobre Población y Desarrollo en su Informe Final</w:t>
      </w:r>
    </w:p>
    <w:p w14:paraId="4A79A249" w14:textId="77777777" w:rsidR="00B33822" w:rsidRDefault="00B33822">
      <w:pPr>
        <w:spacing w:after="0" w:line="240" w:lineRule="auto"/>
        <w:ind w:left="0"/>
        <w:rPr>
          <w:rFonts w:ascii="Times New Roman" w:eastAsia="Times New Roman" w:hAnsi="Times New Roman" w:cs="Times New Roman"/>
          <w:i/>
          <w:sz w:val="24"/>
          <w:szCs w:val="24"/>
        </w:rPr>
      </w:pPr>
    </w:p>
    <w:p w14:paraId="37539AC5" w14:textId="77777777" w:rsidR="00B33822" w:rsidRDefault="00072DA4">
      <w:pPr>
        <w:pStyle w:val="Ttulo1"/>
        <w:keepLines w:val="0"/>
        <w:shd w:val="clear" w:color="auto" w:fill="FFFFFF"/>
        <w:spacing w:before="0" w:after="0" w:line="240" w:lineRule="auto"/>
        <w:ind w:left="0"/>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5.1.2. Protección de los derechos humanos de los adultos mayores</w:t>
      </w:r>
      <w:r>
        <w:rPr>
          <w:rFonts w:ascii="Times New Roman" w:eastAsia="Times New Roman" w:hAnsi="Times New Roman" w:cs="Times New Roman"/>
          <w:b/>
          <w:i/>
          <w:color w:val="000000"/>
          <w:sz w:val="24"/>
          <w:szCs w:val="24"/>
          <w:vertAlign w:val="superscript"/>
        </w:rPr>
        <w:footnoteReference w:id="2"/>
      </w:r>
    </w:p>
    <w:p w14:paraId="1D653FA6"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Convención Interamericana sobre Protección de los Derechos Humanos de las Personas Mayores establece pautas para promover, proteger y asegurar el pleno goce y ejercicio de los derechos de la persona mayor.</w:t>
      </w:r>
    </w:p>
    <w:p w14:paraId="5047931A"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Convención Interamericana sobre Protección de los Derechos Humanos de las Personas Mayores protege los derechos humanos y libertades de la persona mayor.</w:t>
      </w:r>
    </w:p>
    <w:p w14:paraId="64E33771"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Esta Convención tiene jerarquía constitucional, es decir forma parte de la Constitución Nacional.</w:t>
      </w:r>
    </w:p>
    <w:p w14:paraId="7BD2D293"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Para la Convención una persona mayor es la que tiene 60 años o más, salvo que la ley de cada país determine una edad diferente. La Convención establece que la edad base a partir de la cual una persona debe ser considerada mayor no puede ser mayor a los 65 años.</w:t>
      </w:r>
    </w:p>
    <w:p w14:paraId="61E53A26"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Los principios de la Convención son:</w:t>
      </w:r>
    </w:p>
    <w:p w14:paraId="31F4C176"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promoción y defensa de los derechos humanos y libertades fundamentales de la persona mayor.</w:t>
      </w:r>
    </w:p>
    <w:p w14:paraId="15AE96CC"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valorización de la persona mayor, su papel en la sociedad y contribución al desarrollo.</w:t>
      </w:r>
    </w:p>
    <w:p w14:paraId="65DBDC29"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dignidad, independencia, protagonismo y autonomía de la persona mayor.</w:t>
      </w:r>
    </w:p>
    <w:p w14:paraId="3E99F8BF"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igualdad y no discriminación.</w:t>
      </w:r>
    </w:p>
    <w:p w14:paraId="33E887C9"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participación, integración e inclusión en la sociedad.</w:t>
      </w:r>
    </w:p>
    <w:p w14:paraId="7AAE0009"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El bienestar y cuidado.</w:t>
      </w:r>
    </w:p>
    <w:p w14:paraId="00444732"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seguridad física, económica y social.</w:t>
      </w:r>
    </w:p>
    <w:p w14:paraId="566BE842"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autorrealización.</w:t>
      </w:r>
    </w:p>
    <w:p w14:paraId="04BA146F"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equidad e igualdad de género.</w:t>
      </w:r>
    </w:p>
    <w:p w14:paraId="71AE89C3"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solidaridad y fortalecimiento de la protección familiar y comunitaria.</w:t>
      </w:r>
    </w:p>
    <w:p w14:paraId="4FE7FAD2"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El buen trato y la atención preferencial.</w:t>
      </w:r>
    </w:p>
    <w:p w14:paraId="118E233B"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El respeto y valorización de la diversidad cultural.</w:t>
      </w:r>
    </w:p>
    <w:p w14:paraId="14EA5937"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protección judicial efectiva.</w:t>
      </w:r>
    </w:p>
    <w:p w14:paraId="7D6D5118" w14:textId="77777777" w:rsidR="00B33822" w:rsidRDefault="00072DA4">
      <w:pPr>
        <w:numPr>
          <w:ilvl w:val="0"/>
          <w:numId w:val="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responsabilidad del Estado y participación de la familia y de la comunidad en la integración de la persona mayor, así como en su cuidado y atención, de acuerdo con su legislación interna.</w:t>
      </w:r>
    </w:p>
    <w:p w14:paraId="65CCF5CF" w14:textId="77777777" w:rsidR="00B33822" w:rsidRDefault="00B33822">
      <w:pPr>
        <w:spacing w:after="0" w:line="240" w:lineRule="auto"/>
        <w:ind w:left="0"/>
        <w:rPr>
          <w:rFonts w:ascii="Times New Roman" w:eastAsia="Times New Roman" w:hAnsi="Times New Roman" w:cs="Times New Roman"/>
          <w:b/>
          <w:i/>
          <w:sz w:val="24"/>
          <w:szCs w:val="24"/>
        </w:rPr>
      </w:pPr>
    </w:p>
    <w:p w14:paraId="02FEFC37" w14:textId="77777777" w:rsidR="00B33822" w:rsidRDefault="00072DA4">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5.1.3. De los Deberes del Estado</w:t>
      </w:r>
      <w:r>
        <w:rPr>
          <w:rFonts w:ascii="Times New Roman" w:eastAsia="Times New Roman" w:hAnsi="Times New Roman" w:cs="Times New Roman"/>
          <w:i/>
          <w:sz w:val="24"/>
          <w:szCs w:val="24"/>
          <w:vertAlign w:val="superscript"/>
        </w:rPr>
        <w:footnoteReference w:id="3"/>
      </w:r>
    </w:p>
    <w:p w14:paraId="0B1E80AF" w14:textId="77777777" w:rsidR="00B33822" w:rsidRDefault="00B33822">
      <w:pPr>
        <w:spacing w:after="0" w:line="240" w:lineRule="auto"/>
        <w:ind w:left="0"/>
        <w:rPr>
          <w:rFonts w:ascii="Times New Roman" w:eastAsia="Times New Roman" w:hAnsi="Times New Roman" w:cs="Times New Roman"/>
          <w:b/>
          <w:i/>
          <w:sz w:val="24"/>
          <w:szCs w:val="24"/>
        </w:rPr>
      </w:pPr>
    </w:p>
    <w:p w14:paraId="2C3B5D9E"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Los Estados Parte deben proteger los derechos humanos y libertades fundamentales de la persona mayor. Para cumplir con ese deber, los Estados deben:</w:t>
      </w:r>
    </w:p>
    <w:p w14:paraId="7C834F07" w14:textId="77777777" w:rsidR="00B33822" w:rsidRDefault="00072DA4">
      <w:pPr>
        <w:numPr>
          <w:ilvl w:val="0"/>
          <w:numId w:val="16"/>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Tomar medidas para prevenir, sancionar y eliminar las prácticas de aislamiento, abandono, sujeciones físicas, hacinamiento, expulsiones de la comunidad, negación de nutrición, infantilización, tratamientos médicos inadecuados o desproporcionados y todos los malos tratos o penas crueles, inhumanos o degradantes a la persona mayor.</w:t>
      </w:r>
    </w:p>
    <w:p w14:paraId="547BABED" w14:textId="77777777" w:rsidR="00B33822" w:rsidRDefault="00072DA4">
      <w:pPr>
        <w:numPr>
          <w:ilvl w:val="0"/>
          <w:numId w:val="16"/>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No tomar medidas legislativas que sean incompatibles con la Convención.</w:t>
      </w:r>
    </w:p>
    <w:p w14:paraId="277F863B" w14:textId="77777777" w:rsidR="00B33822" w:rsidRDefault="00072DA4">
      <w:pPr>
        <w:numPr>
          <w:ilvl w:val="0"/>
          <w:numId w:val="16"/>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Adoptar medidas para dar a la persona mayor un trato diferenciado y preferencial en todos los ámbitos.</w:t>
      </w:r>
    </w:p>
    <w:p w14:paraId="624D44D2" w14:textId="77777777" w:rsidR="00B33822" w:rsidRDefault="00072DA4">
      <w:pPr>
        <w:numPr>
          <w:ilvl w:val="0"/>
          <w:numId w:val="16"/>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Adoptar medidas para lograr la plena efectividad de los derechos económicos, sociales y culturales de la persona mayor.</w:t>
      </w:r>
    </w:p>
    <w:p w14:paraId="49561FC1" w14:textId="77777777" w:rsidR="00B33822" w:rsidRDefault="00072DA4">
      <w:pPr>
        <w:numPr>
          <w:ilvl w:val="0"/>
          <w:numId w:val="16"/>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Promover instituciones públicas especializadas en la protección y promoción de los derechos de la persona mayor y su desarrollo integral.</w:t>
      </w:r>
    </w:p>
    <w:p w14:paraId="080D056F" w14:textId="77777777" w:rsidR="00B33822" w:rsidRDefault="00072DA4">
      <w:pPr>
        <w:numPr>
          <w:ilvl w:val="0"/>
          <w:numId w:val="16"/>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Promover la participación de la sociedad civil en la elaboración, aplicación y control de políticas públicas y legislación dirigidas a la aplicación de la Convención.</w:t>
      </w:r>
    </w:p>
    <w:p w14:paraId="76963063" w14:textId="77777777" w:rsidR="00B33822" w:rsidRDefault="00072DA4">
      <w:pPr>
        <w:numPr>
          <w:ilvl w:val="0"/>
          <w:numId w:val="16"/>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Promover la recopilación de información adecuada para dar efecto a la Convención.</w:t>
      </w:r>
    </w:p>
    <w:p w14:paraId="63864ED5" w14:textId="77777777" w:rsidR="00B33822" w:rsidRDefault="00072DA4">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5.1.4. De los Derechos de las personas mayores</w:t>
      </w:r>
      <w:r>
        <w:rPr>
          <w:rFonts w:ascii="Times New Roman" w:eastAsia="Times New Roman" w:hAnsi="Times New Roman" w:cs="Times New Roman"/>
          <w:i/>
          <w:sz w:val="24"/>
          <w:szCs w:val="24"/>
          <w:vertAlign w:val="superscript"/>
        </w:rPr>
        <w:footnoteReference w:id="4"/>
      </w:r>
    </w:p>
    <w:p w14:paraId="328B3FA2" w14:textId="77777777" w:rsidR="00B33822" w:rsidRDefault="00B33822">
      <w:pPr>
        <w:spacing w:after="0" w:line="240" w:lineRule="auto"/>
        <w:ind w:left="0"/>
        <w:rPr>
          <w:rFonts w:ascii="Times New Roman" w:eastAsia="Times New Roman" w:hAnsi="Times New Roman" w:cs="Times New Roman"/>
          <w:b/>
          <w:i/>
          <w:sz w:val="24"/>
          <w:szCs w:val="24"/>
        </w:rPr>
      </w:pPr>
    </w:p>
    <w:p w14:paraId="2315062A"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Los derechos de las personas mayores que protege esta Convención son:</w:t>
      </w:r>
    </w:p>
    <w:p w14:paraId="789A4AB4" w14:textId="77777777" w:rsidR="00B33822" w:rsidRDefault="00072DA4">
      <w:pPr>
        <w:numPr>
          <w:ilvl w:val="0"/>
          <w:numId w:val="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Igualdad y no discriminación por razones de edad. Queda prohibida la discriminación por edad en la vejez.</w:t>
      </w:r>
    </w:p>
    <w:p w14:paraId="5230C63D" w14:textId="77777777" w:rsidR="00B33822" w:rsidRDefault="00072DA4">
      <w:pPr>
        <w:numPr>
          <w:ilvl w:val="0"/>
          <w:numId w:val="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vida y a la dignidad en la vejez.</w:t>
      </w:r>
    </w:p>
    <w:p w14:paraId="3431ECC0" w14:textId="77777777" w:rsidR="00B33822" w:rsidRDefault="00072DA4">
      <w:pPr>
        <w:numPr>
          <w:ilvl w:val="0"/>
          <w:numId w:val="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independencia y a la autonomía: se reconoce el derecho de la persona mayor a tomar decisiones, a desarrollar una vida autónoma e independiente, a elegir su lugar de residencia y dónde y con quién vivir.</w:t>
      </w:r>
    </w:p>
    <w:p w14:paraId="7A544C60" w14:textId="77777777" w:rsidR="00B33822" w:rsidRDefault="00072DA4">
      <w:pPr>
        <w:numPr>
          <w:ilvl w:val="0"/>
          <w:numId w:val="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participación e integración comunitaria.</w:t>
      </w:r>
    </w:p>
    <w:p w14:paraId="0F02FBC9" w14:textId="77777777" w:rsidR="00B33822" w:rsidRDefault="00072DA4">
      <w:pPr>
        <w:numPr>
          <w:ilvl w:val="0"/>
          <w:numId w:val="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seguridad y a una vida sin ningún tipo de violencia.</w:t>
      </w:r>
    </w:p>
    <w:p w14:paraId="0081F9B5" w14:textId="77777777" w:rsidR="00B33822" w:rsidRDefault="00072DA4">
      <w:pPr>
        <w:numPr>
          <w:ilvl w:val="0"/>
          <w:numId w:val="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no ser sometido a tortura ni a penas o tratos crueles, inhumanos o degradantes.</w:t>
      </w:r>
    </w:p>
    <w:p w14:paraId="15554443" w14:textId="77777777" w:rsidR="00B33822" w:rsidRDefault="00072DA4">
      <w:pPr>
        <w:numPr>
          <w:ilvl w:val="0"/>
          <w:numId w:val="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accesibilidad y a la movilidad personal.</w:t>
      </w:r>
    </w:p>
    <w:p w14:paraId="032877F7" w14:textId="77777777" w:rsidR="00B33822" w:rsidRDefault="00B33822">
      <w:pPr>
        <w:shd w:val="clear" w:color="auto" w:fill="FFFFFF"/>
        <w:spacing w:after="0" w:line="240" w:lineRule="auto"/>
        <w:ind w:left="720"/>
        <w:rPr>
          <w:rFonts w:ascii="Times New Roman" w:eastAsia="Times New Roman" w:hAnsi="Times New Roman" w:cs="Times New Roman"/>
          <w:i/>
          <w:sz w:val="24"/>
          <w:szCs w:val="24"/>
        </w:rPr>
      </w:pPr>
    </w:p>
    <w:p w14:paraId="428EF17F" w14:textId="77777777" w:rsidR="00B33822" w:rsidRDefault="00072DA4">
      <w:pPr>
        <w:shd w:val="clear" w:color="auto" w:fill="FFFFFF"/>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5.1.4.1. Derecho a la salud</w:t>
      </w:r>
    </w:p>
    <w:p w14:paraId="00D35E29" w14:textId="77777777" w:rsidR="00B33822" w:rsidRDefault="00072DA4">
      <w:pPr>
        <w:numPr>
          <w:ilvl w:val="0"/>
          <w:numId w:val="13"/>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dar consentimiento libre e informado en el ámbito de la salud. Las instituciones y los profesionales de la salud no pueden realizar ningún tratamiento, intervención o investigación de carácter médico o quirúrgico sin el consentimiento de la persona mayor.</w:t>
      </w:r>
    </w:p>
    <w:p w14:paraId="47D0027E" w14:textId="77777777" w:rsidR="00B33822" w:rsidRDefault="00072DA4">
      <w:pPr>
        <w:numPr>
          <w:ilvl w:val="0"/>
          <w:numId w:val="13"/>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recibir servicios de cuidado a largo plazo.</w:t>
      </w:r>
    </w:p>
    <w:p w14:paraId="11FC6D13" w14:textId="77777777" w:rsidR="00B33822" w:rsidRDefault="00B33822">
      <w:pPr>
        <w:shd w:val="clear" w:color="auto" w:fill="FFFFFF"/>
        <w:spacing w:after="0" w:line="240" w:lineRule="auto"/>
        <w:ind w:left="720"/>
        <w:rPr>
          <w:rFonts w:ascii="Times New Roman" w:eastAsia="Times New Roman" w:hAnsi="Times New Roman" w:cs="Times New Roman"/>
          <w:i/>
          <w:sz w:val="24"/>
          <w:szCs w:val="24"/>
        </w:rPr>
      </w:pPr>
    </w:p>
    <w:p w14:paraId="1BF133EB" w14:textId="77777777" w:rsidR="00B33822" w:rsidRDefault="00072DA4">
      <w:pPr>
        <w:pStyle w:val="Ttulo5"/>
        <w:shd w:val="clear" w:color="auto" w:fill="FFFFFF"/>
        <w:spacing w:before="0"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color w:val="000000"/>
          <w:sz w:val="24"/>
          <w:szCs w:val="24"/>
        </w:rPr>
        <w:t>5.1.4.2. Derecho a la libertad personal.</w:t>
      </w:r>
    </w:p>
    <w:p w14:paraId="0F6172D3" w14:textId="77777777" w:rsidR="00B33822" w:rsidRDefault="00072DA4">
      <w:pPr>
        <w:numPr>
          <w:ilvl w:val="0"/>
          <w:numId w:val="10"/>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libertad de expresión y de opinión y al acceso a la información.</w:t>
      </w:r>
    </w:p>
    <w:p w14:paraId="287EC1D3" w14:textId="77777777" w:rsidR="00B33822" w:rsidRDefault="00072DA4">
      <w:pPr>
        <w:numPr>
          <w:ilvl w:val="0"/>
          <w:numId w:val="10"/>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nacionalidad y a la libertad de circulación.</w:t>
      </w:r>
    </w:p>
    <w:p w14:paraId="21DE85D5" w14:textId="77777777" w:rsidR="00B33822" w:rsidRDefault="00072DA4">
      <w:pPr>
        <w:numPr>
          <w:ilvl w:val="0"/>
          <w:numId w:val="10"/>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privacidad y a la intimidad.</w:t>
      </w:r>
    </w:p>
    <w:p w14:paraId="70C10F79" w14:textId="77777777" w:rsidR="00B33822" w:rsidRDefault="00B33822">
      <w:pPr>
        <w:shd w:val="clear" w:color="auto" w:fill="FFFFFF"/>
        <w:spacing w:after="0" w:line="240" w:lineRule="auto"/>
        <w:ind w:left="720"/>
        <w:rPr>
          <w:rFonts w:ascii="Times New Roman" w:eastAsia="Times New Roman" w:hAnsi="Times New Roman" w:cs="Times New Roman"/>
          <w:i/>
          <w:sz w:val="24"/>
          <w:szCs w:val="24"/>
        </w:rPr>
      </w:pPr>
    </w:p>
    <w:p w14:paraId="397B7FA8" w14:textId="77777777" w:rsidR="00B33822" w:rsidRDefault="00072DA4">
      <w:pPr>
        <w:pStyle w:val="Ttulo5"/>
        <w:shd w:val="clear" w:color="auto" w:fill="FFFFFF"/>
        <w:spacing w:before="0" w:after="0" w:line="240" w:lineRule="auto"/>
        <w:ind w:left="0"/>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5.1.4.3.  Trabajo y seguridad social</w:t>
      </w:r>
    </w:p>
    <w:p w14:paraId="51DD1CAF" w14:textId="77777777" w:rsidR="00B33822" w:rsidRDefault="00072DA4">
      <w:pPr>
        <w:numPr>
          <w:ilvl w:val="0"/>
          <w:numId w:val="1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seguridad social. Toda persona mayor tiene derecho a la seguridad social para llevar una vida digna.</w:t>
      </w:r>
    </w:p>
    <w:p w14:paraId="2AA23872" w14:textId="77777777" w:rsidR="00B33822" w:rsidRDefault="00072DA4">
      <w:pPr>
        <w:numPr>
          <w:ilvl w:val="0"/>
          <w:numId w:val="11"/>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al trabajo. La persona mayor tiene derecho al trabajo digno y decente y a la igualdad de oportunidades y de trato con los otros trabajadores, sea cual fuera su edad.</w:t>
      </w:r>
    </w:p>
    <w:p w14:paraId="2C5C4335" w14:textId="77777777" w:rsidR="00B33822" w:rsidRDefault="00B33822">
      <w:pPr>
        <w:shd w:val="clear" w:color="auto" w:fill="FFFFFF"/>
        <w:spacing w:after="0" w:line="240" w:lineRule="auto"/>
        <w:ind w:left="720"/>
        <w:rPr>
          <w:rFonts w:ascii="Times New Roman" w:eastAsia="Times New Roman" w:hAnsi="Times New Roman" w:cs="Times New Roman"/>
          <w:i/>
          <w:sz w:val="24"/>
          <w:szCs w:val="24"/>
        </w:rPr>
      </w:pPr>
    </w:p>
    <w:p w14:paraId="6A8B2144" w14:textId="77777777" w:rsidR="00B33822" w:rsidRDefault="00072DA4">
      <w:pPr>
        <w:pStyle w:val="Ttulo5"/>
        <w:shd w:val="clear" w:color="auto" w:fill="FFFFFF"/>
        <w:spacing w:before="0" w:after="0" w:line="240" w:lineRule="auto"/>
        <w:ind w:left="0"/>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5.1.4.4. Educación y cultura</w:t>
      </w:r>
    </w:p>
    <w:p w14:paraId="768825CF" w14:textId="77777777" w:rsidR="00B33822" w:rsidRDefault="00072DA4">
      <w:pPr>
        <w:numPr>
          <w:ilvl w:val="0"/>
          <w:numId w:val="15"/>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educación. La persona mayor tiene derecho a la educación en igualdad de condiciones con otros sectores de la población y sin discriminación.</w:t>
      </w:r>
    </w:p>
    <w:p w14:paraId="601F7CEB" w14:textId="77777777" w:rsidR="00B33822" w:rsidRDefault="00072DA4">
      <w:pPr>
        <w:numPr>
          <w:ilvl w:val="0"/>
          <w:numId w:val="15"/>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cultura. La persona mayor tiene derecho a su identidad cultural, a participar en la vida cultural y artística de la comunidad y a compartir sus conocimientos y experiencias.</w:t>
      </w:r>
    </w:p>
    <w:p w14:paraId="330833D7" w14:textId="77777777" w:rsidR="00B33822" w:rsidRDefault="00072DA4">
      <w:pPr>
        <w:numPr>
          <w:ilvl w:val="0"/>
          <w:numId w:val="15"/>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recreación, al esparcimiento y al deporte.</w:t>
      </w:r>
    </w:p>
    <w:p w14:paraId="5CB98B3B" w14:textId="77777777" w:rsidR="00B33822" w:rsidRDefault="00B33822">
      <w:pPr>
        <w:shd w:val="clear" w:color="auto" w:fill="FFFFFF"/>
        <w:spacing w:after="0" w:line="240" w:lineRule="auto"/>
        <w:ind w:left="720"/>
        <w:rPr>
          <w:rFonts w:ascii="Times New Roman" w:eastAsia="Times New Roman" w:hAnsi="Times New Roman" w:cs="Times New Roman"/>
          <w:i/>
          <w:sz w:val="24"/>
          <w:szCs w:val="24"/>
        </w:rPr>
      </w:pPr>
    </w:p>
    <w:p w14:paraId="551F4540" w14:textId="77777777" w:rsidR="00B33822" w:rsidRDefault="00072DA4">
      <w:pPr>
        <w:pStyle w:val="Ttulo5"/>
        <w:shd w:val="clear" w:color="auto" w:fill="FFFFFF"/>
        <w:spacing w:before="0" w:after="0" w:line="240" w:lineRule="auto"/>
        <w:ind w:left="0"/>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lastRenderedPageBreak/>
        <w:t>5.1.4.5. Derecho a la propiedad</w:t>
      </w:r>
    </w:p>
    <w:p w14:paraId="2BB09AE4" w14:textId="77777777" w:rsidR="00B33822" w:rsidRDefault="00072DA4">
      <w:pPr>
        <w:numPr>
          <w:ilvl w:val="0"/>
          <w:numId w:val="9"/>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propiedad. Ninguna persona mayor puede ser privada de sus bienes, excepto mediante el pago de indemnización justa, por razones de utilidad pública o de interés social y en los casos y según las formas establecidas por la ley.</w:t>
      </w:r>
    </w:p>
    <w:p w14:paraId="3132F339" w14:textId="77777777" w:rsidR="00B33822" w:rsidRDefault="00072DA4">
      <w:pPr>
        <w:numPr>
          <w:ilvl w:val="0"/>
          <w:numId w:val="9"/>
        </w:numPr>
        <w:shd w:val="clear" w:color="auto" w:fill="FFFFFF"/>
        <w:spacing w:after="0" w:line="240" w:lineRule="auto"/>
        <w:jc w:val="left"/>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la vivienda.</w:t>
      </w:r>
    </w:p>
    <w:p w14:paraId="0AA995BF" w14:textId="77777777" w:rsidR="00B33822" w:rsidRDefault="00B33822">
      <w:pPr>
        <w:shd w:val="clear" w:color="auto" w:fill="FFFFFF"/>
        <w:spacing w:after="0" w:line="240" w:lineRule="auto"/>
        <w:ind w:left="720"/>
        <w:jc w:val="left"/>
        <w:rPr>
          <w:rFonts w:ascii="Times New Roman" w:eastAsia="Times New Roman" w:hAnsi="Times New Roman" w:cs="Times New Roman"/>
          <w:i/>
          <w:sz w:val="24"/>
          <w:szCs w:val="24"/>
        </w:rPr>
      </w:pPr>
    </w:p>
    <w:p w14:paraId="26E2712B" w14:textId="77777777" w:rsidR="00B33822" w:rsidRDefault="00072DA4">
      <w:pPr>
        <w:pStyle w:val="Ttulo5"/>
        <w:shd w:val="clear" w:color="auto" w:fill="FFFFFF"/>
        <w:spacing w:before="0" w:after="0" w:line="240" w:lineRule="auto"/>
        <w:ind w:left="0"/>
        <w:jc w:val="left"/>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5.1.4.6. Medio ambiente</w:t>
      </w:r>
    </w:p>
    <w:p w14:paraId="581C3B9D" w14:textId="77777777" w:rsidR="00B33822" w:rsidRDefault="00072DA4">
      <w:pPr>
        <w:numPr>
          <w:ilvl w:val="0"/>
          <w:numId w:val="7"/>
        </w:numPr>
        <w:shd w:val="clear" w:color="auto" w:fill="FFFFFF"/>
        <w:spacing w:after="0" w:line="240" w:lineRule="auto"/>
        <w:jc w:val="left"/>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a un medio ambiente sano</w:t>
      </w:r>
    </w:p>
    <w:p w14:paraId="4E27CA54" w14:textId="77777777" w:rsidR="00B33822" w:rsidRDefault="00B33822">
      <w:pPr>
        <w:shd w:val="clear" w:color="auto" w:fill="FFFFFF"/>
        <w:spacing w:after="0" w:line="240" w:lineRule="auto"/>
        <w:ind w:left="720"/>
        <w:jc w:val="left"/>
        <w:rPr>
          <w:rFonts w:ascii="Times New Roman" w:eastAsia="Times New Roman" w:hAnsi="Times New Roman" w:cs="Times New Roman"/>
          <w:i/>
          <w:sz w:val="24"/>
          <w:szCs w:val="24"/>
        </w:rPr>
      </w:pPr>
    </w:p>
    <w:p w14:paraId="6789DF9D" w14:textId="77777777" w:rsidR="00B33822" w:rsidRDefault="00072DA4">
      <w:pPr>
        <w:pStyle w:val="Ttulo5"/>
        <w:shd w:val="clear" w:color="auto" w:fill="FFFFFF"/>
        <w:spacing w:before="0" w:after="0" w:line="240" w:lineRule="auto"/>
        <w:ind w:left="0"/>
        <w:jc w:val="left"/>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5.1.4.7. Derechos políticos</w:t>
      </w:r>
    </w:p>
    <w:p w14:paraId="2F5487D7" w14:textId="77777777" w:rsidR="00B33822" w:rsidRDefault="00072DA4">
      <w:pPr>
        <w:numPr>
          <w:ilvl w:val="0"/>
          <w:numId w:val="3"/>
        </w:numPr>
        <w:shd w:val="clear" w:color="auto" w:fill="FFFFFF"/>
        <w:spacing w:after="0" w:line="240" w:lineRule="auto"/>
        <w:jc w:val="left"/>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Derechos políticos. La persona mayor tiene derecho a la participación en la vida política y pública en igualdad de condiciones con los demás y a no ser discriminada por motivo de edad.</w:t>
      </w:r>
    </w:p>
    <w:p w14:paraId="58EC1BF8" w14:textId="77777777" w:rsidR="00B33822" w:rsidRDefault="00072DA4">
      <w:pPr>
        <w:numPr>
          <w:ilvl w:val="0"/>
          <w:numId w:val="3"/>
        </w:numPr>
        <w:shd w:val="clear" w:color="auto" w:fill="FFFFFF"/>
        <w:spacing w:after="0" w:line="240" w:lineRule="auto"/>
        <w:jc w:val="left"/>
        <w:rPr>
          <w:rFonts w:ascii="Times New Roman" w:eastAsia="Times New Roman" w:hAnsi="Times New Roman" w:cs="Times New Roman"/>
          <w:i/>
          <w:sz w:val="24"/>
          <w:szCs w:val="24"/>
        </w:rPr>
      </w:pPr>
      <w:r>
        <w:rPr>
          <w:rFonts w:ascii="Times New Roman" w:eastAsia="Times New Roman" w:hAnsi="Times New Roman" w:cs="Times New Roman"/>
          <w:i/>
          <w:sz w:val="24"/>
          <w:szCs w:val="24"/>
        </w:rPr>
        <w:t>Derecho de reunión y de asociación.</w:t>
      </w:r>
    </w:p>
    <w:p w14:paraId="74F9E344" w14:textId="77777777" w:rsidR="00B33822" w:rsidRDefault="00B33822">
      <w:pPr>
        <w:shd w:val="clear" w:color="auto" w:fill="FFFFFF"/>
        <w:spacing w:after="0" w:line="240" w:lineRule="auto"/>
        <w:ind w:left="720"/>
        <w:jc w:val="left"/>
        <w:rPr>
          <w:rFonts w:ascii="Times New Roman" w:eastAsia="Times New Roman" w:hAnsi="Times New Roman" w:cs="Times New Roman"/>
          <w:i/>
          <w:sz w:val="24"/>
          <w:szCs w:val="24"/>
        </w:rPr>
      </w:pPr>
    </w:p>
    <w:p w14:paraId="3190904E" w14:textId="77777777" w:rsidR="00B33822" w:rsidRDefault="00072DA4">
      <w:pPr>
        <w:pStyle w:val="Ttulo5"/>
        <w:shd w:val="clear" w:color="auto" w:fill="FFFFFF"/>
        <w:spacing w:before="0" w:after="0" w:line="240" w:lineRule="auto"/>
        <w:ind w:left="0"/>
        <w:jc w:val="left"/>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5.1.4.8. Situaciones de riesgo</w:t>
      </w:r>
    </w:p>
    <w:p w14:paraId="11FCC9B2" w14:textId="77777777" w:rsidR="00B33822" w:rsidRDefault="00072DA4">
      <w:pPr>
        <w:numPr>
          <w:ilvl w:val="0"/>
          <w:numId w:val="4"/>
        </w:numPr>
        <w:shd w:val="clear" w:color="auto" w:fill="FFFFFF"/>
        <w:spacing w:after="0" w:line="240" w:lineRule="auto"/>
        <w:jc w:val="left"/>
        <w:rPr>
          <w:rFonts w:ascii="Times New Roman" w:eastAsia="Times New Roman" w:hAnsi="Times New Roman" w:cs="Times New Roman"/>
          <w:b/>
          <w:i/>
          <w:sz w:val="24"/>
          <w:szCs w:val="24"/>
        </w:rPr>
      </w:pPr>
      <w:r>
        <w:rPr>
          <w:rFonts w:ascii="Times New Roman" w:eastAsia="Times New Roman" w:hAnsi="Times New Roman" w:cs="Times New Roman"/>
          <w:i/>
          <w:sz w:val="24"/>
          <w:szCs w:val="24"/>
        </w:rPr>
        <w:t>Se debe proteger a las personas mayores de edad en situaciones de riesgo, como conflictos armados, emergencias humanitarias y desastres.</w:t>
      </w:r>
    </w:p>
    <w:p w14:paraId="29D25E79" w14:textId="77777777" w:rsidR="00B33822" w:rsidRDefault="00B33822">
      <w:pPr>
        <w:shd w:val="clear" w:color="auto" w:fill="FFFFFF"/>
        <w:spacing w:after="0" w:line="240" w:lineRule="auto"/>
        <w:ind w:left="720"/>
        <w:jc w:val="left"/>
        <w:rPr>
          <w:rFonts w:ascii="Times New Roman" w:eastAsia="Times New Roman" w:hAnsi="Times New Roman" w:cs="Times New Roman"/>
          <w:i/>
          <w:sz w:val="24"/>
          <w:szCs w:val="24"/>
        </w:rPr>
      </w:pPr>
    </w:p>
    <w:p w14:paraId="067F1344" w14:textId="77777777" w:rsidR="00B33822" w:rsidRDefault="00072DA4">
      <w:pPr>
        <w:shd w:val="clear" w:color="auto" w:fill="FFFFFF"/>
        <w:spacing w:after="0" w:line="240" w:lineRule="auto"/>
        <w:ind w:left="0"/>
        <w:jc w:val="lef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5.1.4.8. Acceso a la justicia</w:t>
      </w:r>
    </w:p>
    <w:p w14:paraId="5412B9DF" w14:textId="77777777" w:rsidR="00B33822" w:rsidRDefault="00072DA4">
      <w:pPr>
        <w:numPr>
          <w:ilvl w:val="0"/>
          <w:numId w:val="1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Acceso a la justicia. La persona mayor tiene derecho a ser oída, con las debidas garantías y dentro de un plazo razonable, por un juez o tribunal competente, independiente e imparcial.</w:t>
      </w:r>
    </w:p>
    <w:p w14:paraId="6D717341" w14:textId="77777777" w:rsidR="00B33822" w:rsidRDefault="00072DA4">
      <w:pPr>
        <w:numPr>
          <w:ilvl w:val="0"/>
          <w:numId w:val="1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Igual reconocimiento como persona ante la ley. La persona mayor tiene capacidad jurídica en igualdad de condiciones con las demás en todos los aspectos de la vida.</w:t>
      </w:r>
    </w:p>
    <w:p w14:paraId="345F7D40" w14:textId="77777777" w:rsidR="00B33822" w:rsidRDefault="00072DA4">
      <w:pPr>
        <w:numPr>
          <w:ilvl w:val="0"/>
          <w:numId w:val="12"/>
        </w:numPr>
        <w:shd w:val="clear" w:color="auto" w:fill="FFFFFF"/>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actuación de los jueces debe ser rápida si se encuentra en riesgo la salud o la vida de la persona mayor.</w:t>
      </w:r>
    </w:p>
    <w:p w14:paraId="4E54C4A9" w14:textId="77777777" w:rsidR="00B33822" w:rsidRDefault="00B33822">
      <w:pPr>
        <w:spacing w:after="0" w:line="240" w:lineRule="auto"/>
        <w:ind w:left="0"/>
        <w:rPr>
          <w:rFonts w:ascii="Times New Roman" w:eastAsia="Times New Roman" w:hAnsi="Times New Roman" w:cs="Times New Roman"/>
          <w:b/>
          <w:i/>
          <w:sz w:val="24"/>
          <w:szCs w:val="24"/>
        </w:rPr>
      </w:pPr>
    </w:p>
    <w:p w14:paraId="25095B04" w14:textId="77777777" w:rsidR="00B33822" w:rsidRDefault="00072DA4">
      <w:pPr>
        <w:pStyle w:val="Ttulo1"/>
        <w:keepLines w:val="0"/>
        <w:shd w:val="clear" w:color="auto" w:fill="FFFFFF"/>
        <w:spacing w:before="0" w:after="0" w:line="240" w:lineRule="auto"/>
        <w:ind w:left="0"/>
        <w:rPr>
          <w:rFonts w:ascii="Times New Roman" w:eastAsia="Times New Roman" w:hAnsi="Times New Roman" w:cs="Times New Roman"/>
          <w:i/>
          <w:color w:val="000000"/>
          <w:sz w:val="24"/>
          <w:szCs w:val="24"/>
        </w:rPr>
      </w:pPr>
      <w:r>
        <w:rPr>
          <w:rFonts w:ascii="Times New Roman" w:eastAsia="Times New Roman" w:hAnsi="Times New Roman" w:cs="Times New Roman"/>
          <w:b/>
          <w:i/>
          <w:color w:val="000000"/>
          <w:sz w:val="24"/>
          <w:szCs w:val="24"/>
        </w:rPr>
        <w:t>5.1.5.  Ratificación de la Convención Interamericana para la Protección de las Personas Mayores</w:t>
      </w:r>
      <w:r>
        <w:rPr>
          <w:rFonts w:ascii="Times New Roman" w:eastAsia="Times New Roman" w:hAnsi="Times New Roman" w:cs="Times New Roman"/>
          <w:i/>
          <w:color w:val="000000"/>
          <w:sz w:val="24"/>
          <w:szCs w:val="24"/>
          <w:vertAlign w:val="superscript"/>
        </w:rPr>
        <w:footnoteReference w:id="5"/>
      </w:r>
    </w:p>
    <w:p w14:paraId="72F57733" w14:textId="77777777" w:rsidR="00B33822" w:rsidRDefault="00B33822">
      <w:pPr>
        <w:pStyle w:val="Ttulo1"/>
        <w:keepLines w:val="0"/>
        <w:shd w:val="clear" w:color="auto" w:fill="FFFFFF"/>
        <w:spacing w:before="0" w:after="0" w:line="240" w:lineRule="auto"/>
        <w:ind w:left="0"/>
        <w:rPr>
          <w:rFonts w:ascii="Times New Roman" w:eastAsia="Times New Roman" w:hAnsi="Times New Roman" w:cs="Times New Roman"/>
          <w:i/>
          <w:color w:val="000000"/>
          <w:sz w:val="24"/>
          <w:szCs w:val="24"/>
        </w:rPr>
      </w:pPr>
    </w:p>
    <w:p w14:paraId="4DEADC0F"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El 14 de septiembre de 2022</w:t>
      </w:r>
      <w:r>
        <w:rPr>
          <w:rFonts w:ascii="Times New Roman" w:eastAsia="Times New Roman" w:hAnsi="Times New Roman" w:cs="Times New Roman"/>
          <w:i/>
          <w:sz w:val="24"/>
          <w:szCs w:val="24"/>
        </w:rPr>
        <w:t>, El Ministerio de Salud y Protección Social celebra la ratificación, por parte del Estado Colombiano, de la “Convención Interamericana sobre la Protección de los Derechos Humanos de las Personas Mayores", la cual fue adoptada en Washington el 15 de junio de 2015 por la Organización de los Estados Americanos (OEA).</w:t>
      </w:r>
    </w:p>
    <w:p w14:paraId="460900F1"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6276010E"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Esta es una herramienta que busca promover, proteger y asegurar el reconocimiento y el pleno goce y ejercicio, en condiciones de igualdad, de todos los derechos humanos y libertades fundamentales de las personas mayores.</w:t>
      </w:r>
    </w:p>
    <w:p w14:paraId="64135851"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552FFA49"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 xml:space="preserve">"El Gobierno se encuentra comprometido con la garantía de los derechos de las personas mayores, y en el cumplimiento de los 27 derechos consignados en la convención, avanzando hacia la igualdad y superando la injusticia social" (…). </w:t>
      </w:r>
    </w:p>
    <w:p w14:paraId="2CA19AB6"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4EB909F0"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convención es un documento único en su tipo que reafirma el respeto que se le debe a los derechos humanos, a su promoción y protección, en línea con lo establecido en la Declaración Americana de Derechos y Deberes del Hombre y en la Declaración Universal de los Derechos Humanos. (…)</w:t>
      </w:r>
    </w:p>
    <w:p w14:paraId="2BBF2384"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5EC244EF"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 relevante resaltar cómo la sociedad civil representada en organizaciones de personas mayores, organizaciones que trabajan de y para personas mayores, sociedades científicas, academia entre otras, han participado activamente en la incidencia para lograr este importante hito del país, convirtiéndose en el noveno país en adherirse a la convención.</w:t>
      </w:r>
    </w:p>
    <w:p w14:paraId="5DDB77B0"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478B863C"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Entre 2011 y 2021 las personas mayores duplicaron su participación en el total nacional con un crecimiento de 51,5 % representando hoy el 13.9 % de la población colombiana, es decir 7.107.914 personas mayores. Según lo proyectado en el 2031 serán casi 3 millones de personas mayores más lo que equivaldría a 10.012.815 de adultos mayores.</w:t>
      </w:r>
    </w:p>
    <w:p w14:paraId="4EA989D5"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591988A5"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439BFABB"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Esta convención desarrolla 15 principios basados en derechos humanos y reconoce 27 derechos humanos, fue aprobada por Colombia mediante la Ley 2055 de julio de 2020 y es declarada exequible por la Corte Constitucional en Sentencia C-395 de noviembre de 2021.</w:t>
      </w:r>
    </w:p>
    <w:p w14:paraId="51EEBB23"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4E8E1A6F" w14:textId="77777777" w:rsidR="00B33822" w:rsidRDefault="00072DA4">
      <w:pPr>
        <w:shd w:val="clear" w:color="auto" w:fill="FFFFFF"/>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Política Pública Nacional de Envejecimiento y Vejez</w:t>
      </w:r>
    </w:p>
    <w:p w14:paraId="3C9903AB"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552E8DD0"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El Ministerio de Salud y Protección Social partió de estos preceptos para la construcción de la Política Pública de Envejecimiento y Vejez buscando mejorar las condiciones de vida de esta población, sus familias y comunidades, para lo que estableció 6 ejes estratégicos y 25 líneas de acción en cuyo desarrollo convergen la formulación del Plan Nacional de Acción Intersectorial para la Implementación de la Política Nacional de Envejecimiento y Vejez, que está en construcción, y el Observatorio Nacional de Envejecimiento y Vejez que se lanzó el pasado 4 de agosto.</w:t>
      </w:r>
    </w:p>
    <w:p w14:paraId="76034478"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76669C9D"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Desde la política, se busca que las personas mayores accedan a una renta básica para la vejez, gocen de acceso efectivo a los bienes públicos, sean protegidos ante el maltrato, la discriminación y violencia y la resignificación de su valor en la sociedad mediante el desarrollo de oportunidades para una vejez productiva, entre otros.</w:t>
      </w:r>
    </w:p>
    <w:p w14:paraId="599317F6" w14:textId="77777777" w:rsidR="00B33822" w:rsidRDefault="00072DA4">
      <w:pPr>
        <w:spacing w:after="0" w:line="240" w:lineRule="auto"/>
        <w:ind w:left="0"/>
        <w:jc w:val="left"/>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7B0B2BFA" w14:textId="77777777" w:rsidR="00B33822" w:rsidRDefault="00B33822">
      <w:pPr>
        <w:spacing w:after="0" w:line="240" w:lineRule="auto"/>
        <w:ind w:left="0"/>
        <w:jc w:val="left"/>
        <w:rPr>
          <w:rFonts w:ascii="Times New Roman" w:eastAsia="Times New Roman" w:hAnsi="Times New Roman" w:cs="Times New Roman"/>
          <w:i/>
          <w:sz w:val="24"/>
          <w:szCs w:val="24"/>
        </w:rPr>
      </w:pPr>
    </w:p>
    <w:p w14:paraId="76A3206F"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La “Convención Interamericana sobre Protección de los Derechos Humanos de las Personas Mayores” desarrolla, entre otros. Los principios de autonomía, independencia, igualdad y no discriminación e integra, especifica y sistematiza un catálogo de derechos </w:t>
      </w:r>
      <w:r>
        <w:rPr>
          <w:rFonts w:ascii="Times New Roman" w:eastAsia="Times New Roman" w:hAnsi="Times New Roman" w:cs="Times New Roman"/>
          <w:i/>
          <w:sz w:val="24"/>
          <w:szCs w:val="24"/>
        </w:rPr>
        <w:lastRenderedPageBreak/>
        <w:t>fundamentales, políticos, sociales, económicos y culturales de las personas adultas mayores concordantes con los protegidos por la Constitución Política de Colombia</w:t>
      </w:r>
      <w:r>
        <w:rPr>
          <w:rFonts w:ascii="Times New Roman" w:eastAsia="Times New Roman" w:hAnsi="Times New Roman" w:cs="Times New Roman"/>
          <w:i/>
          <w:sz w:val="24"/>
          <w:szCs w:val="24"/>
          <w:vertAlign w:val="superscript"/>
        </w:rPr>
        <w:footnoteReference w:id="6"/>
      </w:r>
      <w:r>
        <w:rPr>
          <w:rFonts w:ascii="Times New Roman" w:eastAsia="Times New Roman" w:hAnsi="Times New Roman" w:cs="Times New Roman"/>
          <w:i/>
          <w:sz w:val="24"/>
          <w:szCs w:val="24"/>
        </w:rPr>
        <w:t>.</w:t>
      </w:r>
    </w:p>
    <w:p w14:paraId="6B2043DF"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4FD8C476"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Este instrumento tiene el objeto de promover, proteger y asegurar el reconocimiento y el pleno goce y ejercicio. En condiciones de igualdad, de todos los derechos humanos y libertades fundamentales de la persona mayor. A fin de contribuir a su plena inclusión, integración y participación en la sociedad.</w:t>
      </w:r>
    </w:p>
    <w:p w14:paraId="49F5C5D9"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74B3EDA5"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Está compuesta por 7 capítulos y 41 artículos. El primer capítulo presenta el objeto, ámbito de aplicación y definiciones, seguido de los principios generales y los deberes generales de los Estados parte. El cuarto precisa los derechos protegidos, seguido de la toma de conciencia social, mecanismos de seguimiento y disposiciones finales acerca de la vigencia en cada uno de los Estados Parte.</w:t>
      </w:r>
    </w:p>
    <w:p w14:paraId="35B0CEA6"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5AF48BF2"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72A9B45A" w14:textId="77777777" w:rsidR="00B33822" w:rsidRDefault="00072DA4">
      <w:pPr>
        <w:pStyle w:val="Ttulo5"/>
        <w:shd w:val="clear" w:color="auto" w:fill="FFFFFF"/>
        <w:spacing w:before="0" w:after="0" w:line="240" w:lineRule="auto"/>
        <w:ind w:left="0"/>
        <w:rPr>
          <w:rFonts w:ascii="Times New Roman" w:eastAsia="Times New Roman" w:hAnsi="Times New Roman" w:cs="Times New Roman"/>
          <w:i/>
          <w:color w:val="000000"/>
          <w:sz w:val="24"/>
          <w:szCs w:val="24"/>
        </w:rPr>
      </w:pPr>
      <w:r>
        <w:rPr>
          <w:rFonts w:ascii="Times New Roman" w:eastAsia="Times New Roman" w:hAnsi="Times New Roman" w:cs="Times New Roman"/>
          <w:b/>
          <w:i/>
          <w:color w:val="000000"/>
          <w:sz w:val="24"/>
          <w:szCs w:val="24"/>
        </w:rPr>
        <w:t>En cuanto a la toma de conciencia (Capítulo V):</w:t>
      </w:r>
    </w:p>
    <w:p w14:paraId="7378E10B"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Sobre la protección de los derechos protegidos en la vejez, insta a los Estados a divulgar la Convención impulsando acciones de promoción de los derechos y empoderamiento de la persona mayor. Así como evitar el lenguaje e imágenes estereotipadas sobre la vejez, desarrollar programas para sensibilizar a la población sobre el proceso de envejecimiento y sobre la persona mayor fomentando su participación y de sus organizaciones en el diseño y formulación de dichos programas, así como una cultura positiva sobre el envejecimiento.</w:t>
      </w:r>
    </w:p>
    <w:p w14:paraId="7F5E690A"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63F0A32F"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Resalta la importancia de la inclusión de contenidos que propicien la comprensión y reconocimiento de la etapa del envejecimiento en los planes y programas de estudios de los diferentes niveles educativos, así como en las agendas académicas y de investigación, y el reconocimiento de la experiencia, la sabiduría, la productividad y la contribución al desarrollo que la persona mayor brinda a la sociedad.</w:t>
      </w:r>
    </w:p>
    <w:p w14:paraId="21B13A56"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2717BD2D" w14:textId="77777777" w:rsidR="00B33822" w:rsidRDefault="00072DA4">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5.2. Nacional</w:t>
      </w:r>
    </w:p>
    <w:p w14:paraId="54C12935" w14:textId="77777777" w:rsidR="00B33822" w:rsidRDefault="00B33822">
      <w:pPr>
        <w:spacing w:after="0" w:line="240" w:lineRule="auto"/>
        <w:ind w:left="0"/>
        <w:rPr>
          <w:rFonts w:ascii="Times New Roman" w:eastAsia="Times New Roman" w:hAnsi="Times New Roman" w:cs="Times New Roman"/>
          <w:b/>
          <w:i/>
          <w:sz w:val="24"/>
          <w:szCs w:val="24"/>
        </w:rPr>
      </w:pPr>
    </w:p>
    <w:p w14:paraId="1156C97F" w14:textId="77777777" w:rsidR="00B33822" w:rsidRDefault="00072DA4">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5.2.1. La Corte Constitucional declaró exequible la ley que protege los derechos de los adultos mayores.</w:t>
      </w:r>
    </w:p>
    <w:p w14:paraId="497CCE8D" w14:textId="77777777" w:rsidR="00B33822" w:rsidRDefault="00B33822">
      <w:pPr>
        <w:spacing w:after="0" w:line="240" w:lineRule="auto"/>
        <w:ind w:left="0"/>
        <w:rPr>
          <w:rFonts w:ascii="Times New Roman" w:eastAsia="Times New Roman" w:hAnsi="Times New Roman" w:cs="Times New Roman"/>
          <w:b/>
          <w:i/>
          <w:sz w:val="24"/>
          <w:szCs w:val="24"/>
        </w:rPr>
      </w:pPr>
    </w:p>
    <w:p w14:paraId="540CC0A7"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La Corte Constitucional anunció su decisión, a través de la sentencia C-395-21, de declarar exequible la ‘Convención Interamericana sobre la Protección de los Derechos Humanos de las Personas Mayores’, que fue adoptada por Colombia en Washington, Estados Unidos, el 15 de junio de 2015.</w:t>
      </w:r>
    </w:p>
    <w:p w14:paraId="0847A0CF" w14:textId="77777777" w:rsidR="00B33822" w:rsidRDefault="00B33822">
      <w:pPr>
        <w:spacing w:after="0" w:line="240" w:lineRule="auto"/>
        <w:ind w:left="0"/>
        <w:rPr>
          <w:rFonts w:ascii="Times New Roman" w:eastAsia="Times New Roman" w:hAnsi="Times New Roman" w:cs="Times New Roman"/>
          <w:i/>
          <w:sz w:val="24"/>
          <w:szCs w:val="24"/>
        </w:rPr>
      </w:pPr>
    </w:p>
    <w:p w14:paraId="3EF0EC62"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Según la sentencia, la Corte aclaró que esta convención traía consigo unas </w:t>
      </w:r>
      <w:r>
        <w:rPr>
          <w:rFonts w:ascii="Times New Roman" w:eastAsia="Times New Roman" w:hAnsi="Times New Roman" w:cs="Times New Roman"/>
          <w:b/>
          <w:i/>
          <w:sz w:val="24"/>
          <w:szCs w:val="24"/>
        </w:rPr>
        <w:t>“valiosas herramientas que potencializan y promueven la materialización de diversos principios y derechos constitucionales que se relacionan con la protección, igualdad, dignidad y los derechos de los adultos mayores”</w:t>
      </w:r>
      <w:r>
        <w:rPr>
          <w:rFonts w:ascii="Times New Roman" w:eastAsia="Times New Roman" w:hAnsi="Times New Roman" w:cs="Times New Roman"/>
          <w:i/>
          <w:sz w:val="24"/>
          <w:szCs w:val="24"/>
        </w:rPr>
        <w:t xml:space="preserve">, esto luego de recalcar que cumplía con los </w:t>
      </w:r>
      <w:r>
        <w:rPr>
          <w:rFonts w:ascii="Times New Roman" w:eastAsia="Times New Roman" w:hAnsi="Times New Roman" w:cs="Times New Roman"/>
          <w:i/>
          <w:sz w:val="24"/>
          <w:szCs w:val="24"/>
        </w:rPr>
        <w:lastRenderedPageBreak/>
        <w:t>mandatos constitucionales del país, y que la decisión se había tomado de forma unánime (negrilla y cursiva fuera del texto).</w:t>
      </w:r>
    </w:p>
    <w:p w14:paraId="3BA93482" w14:textId="77777777" w:rsidR="00B33822" w:rsidRDefault="00B33822">
      <w:pPr>
        <w:spacing w:after="0" w:line="240" w:lineRule="auto"/>
        <w:ind w:left="0"/>
        <w:rPr>
          <w:rFonts w:ascii="Times New Roman" w:eastAsia="Times New Roman" w:hAnsi="Times New Roman" w:cs="Times New Roman"/>
          <w:i/>
          <w:sz w:val="24"/>
          <w:szCs w:val="24"/>
        </w:rPr>
      </w:pPr>
    </w:p>
    <w:p w14:paraId="65502EF3"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Además de esto, con el fallo de la Corte, también se decidió declarar exequible la ley 2055 de 10 de septiembre de 2020, la cual fue el resultado de la discusión y aprobación del Congreso de la República en legislaturas pasadas.  </w:t>
      </w:r>
    </w:p>
    <w:p w14:paraId="5026044E" w14:textId="77777777" w:rsidR="00B33822" w:rsidRDefault="00B33822">
      <w:pPr>
        <w:spacing w:after="0" w:line="240" w:lineRule="auto"/>
        <w:ind w:left="0"/>
        <w:rPr>
          <w:rFonts w:ascii="Times New Roman" w:eastAsia="Times New Roman" w:hAnsi="Times New Roman" w:cs="Times New Roman"/>
          <w:i/>
          <w:sz w:val="24"/>
          <w:szCs w:val="24"/>
        </w:rPr>
      </w:pPr>
    </w:p>
    <w:p w14:paraId="5D8010FB"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Es de resaltar que la ley 2055 de 10 de septiembre de 2020 busca </w:t>
      </w:r>
      <w:r>
        <w:rPr>
          <w:rFonts w:ascii="Times New Roman" w:eastAsia="Times New Roman" w:hAnsi="Times New Roman" w:cs="Times New Roman"/>
          <w:b/>
          <w:i/>
          <w:sz w:val="24"/>
          <w:szCs w:val="24"/>
        </w:rPr>
        <w:t>“promover, proteger y asegurar el reconocimiento y el pleno goce y ejercicio, en condiciones de igualdad, de todos los derechos humanos y libertades fundamentales de la persona mayor, a fin de contribuir a su plena inclusión, ‘integración y participación en la sociedad”,</w:t>
      </w:r>
      <w:r>
        <w:rPr>
          <w:rFonts w:ascii="Times New Roman" w:eastAsia="Times New Roman" w:hAnsi="Times New Roman" w:cs="Times New Roman"/>
          <w:i/>
          <w:sz w:val="24"/>
          <w:szCs w:val="24"/>
        </w:rPr>
        <w:t xml:space="preserve"> lo que quiere decir que en los 41 artículos de la Convención y los 3 artículos de la norma, se busca evitar y penalizar a aquellos que vulneren los derechos de las personas mayores de 65 años (negrilla y cursiva fuera del texto).</w:t>
      </w:r>
    </w:p>
    <w:p w14:paraId="15185590" w14:textId="77777777" w:rsidR="00B33822" w:rsidRDefault="00B33822">
      <w:pPr>
        <w:spacing w:after="0" w:line="240" w:lineRule="auto"/>
        <w:ind w:left="0"/>
        <w:rPr>
          <w:rFonts w:ascii="Times New Roman" w:eastAsia="Times New Roman" w:hAnsi="Times New Roman" w:cs="Times New Roman"/>
          <w:i/>
          <w:sz w:val="24"/>
          <w:szCs w:val="24"/>
        </w:rPr>
      </w:pPr>
    </w:p>
    <w:p w14:paraId="619729C3"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Entre los derechos que esta ley promueve para los adultos mayores está la igualdad y no discriminación por razones de edad; el derecho a vivir con dignidad en la vejez hasta el fin de sus días, según se estable, esto debería de ser en igualdad de condiciones con otros sectores de la población; el derecho a desarrollar una vida autónoma e independiente, conforme a sus tradiciones y creencias; incluso, al derecho de brindar consentimiento libre e informado en el ámbito de la salud, entre otros.</w:t>
      </w:r>
    </w:p>
    <w:p w14:paraId="7F29FD5F" w14:textId="77777777" w:rsidR="00B33822" w:rsidRDefault="00B33822">
      <w:pPr>
        <w:spacing w:after="0" w:line="240" w:lineRule="auto"/>
        <w:ind w:left="0"/>
        <w:rPr>
          <w:rFonts w:ascii="Times New Roman" w:eastAsia="Times New Roman" w:hAnsi="Times New Roman" w:cs="Times New Roman"/>
          <w:i/>
          <w:sz w:val="24"/>
          <w:szCs w:val="24"/>
        </w:rPr>
      </w:pPr>
    </w:p>
    <w:p w14:paraId="08EA160F"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Ante este panorama, la Corte en su comunicado explicó que hizo un control y analizó cada uno de los artículos de la convención, además de los que agrega la ley aprobada en el Congreso, su decisión fue que son compatibles con la carta magna del país, ya que se alinearía con el 150.16 de la Constitución Por jurisprudencia constitucional, el cual establece que “la ley rige desde el momento en que se perfeccione el vínculo internacional respectivo, precisión que responde a lo dispuesto en general por el derecho internacional y la Constitución en materia de leyes aprobatorias de tratados internacionales”.</w:t>
      </w:r>
    </w:p>
    <w:p w14:paraId="175CEA2F" w14:textId="77777777" w:rsidR="00B33822" w:rsidRDefault="00B33822">
      <w:pPr>
        <w:spacing w:after="0" w:line="240" w:lineRule="auto"/>
        <w:ind w:left="0"/>
        <w:rPr>
          <w:rFonts w:ascii="Times New Roman" w:eastAsia="Times New Roman" w:hAnsi="Times New Roman" w:cs="Times New Roman"/>
          <w:i/>
          <w:sz w:val="24"/>
          <w:szCs w:val="24"/>
        </w:rPr>
      </w:pPr>
    </w:p>
    <w:p w14:paraId="6290D168"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Esto último quiere decir que, para que el país adopte un tratado internacional, o en este caso, una Convención para proteger a la población mayor de 65 años, esta debe estar de acuerdo con los ideales y principios que resguarde la Constitución Política de Colombia, ante esto, la Corte comprobó después de su profundo análisis, que esta podía proceder y aplicarse en todo el territorio nacional.</w:t>
      </w:r>
    </w:p>
    <w:p w14:paraId="68BE75CB" w14:textId="77777777" w:rsidR="00B33822" w:rsidRDefault="00B33822">
      <w:pPr>
        <w:spacing w:after="0" w:line="240" w:lineRule="auto"/>
        <w:ind w:left="0"/>
        <w:rPr>
          <w:rFonts w:ascii="Times New Roman" w:eastAsia="Times New Roman" w:hAnsi="Times New Roman" w:cs="Times New Roman"/>
          <w:i/>
          <w:sz w:val="24"/>
          <w:szCs w:val="24"/>
        </w:rPr>
      </w:pPr>
    </w:p>
    <w:p w14:paraId="6DB9E5FA"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Incluso, concluyó que el objeto y las finalidades de la convención serían el instrumento idóneo para alcanzar los postulados constitucionales, y se añadió que, en Colombia, los adultos mayores son “sujetos de especial protección constitucional”, esto de acuerdo con el artículo 2 y el artículo 46 que exige la protección y asistencia de las personas mayores al Estado, a la sociedad y a la familia.</w:t>
      </w:r>
    </w:p>
    <w:p w14:paraId="0FB8A3FB" w14:textId="03CAFB40" w:rsidR="00B33822" w:rsidRDefault="00B33822">
      <w:pPr>
        <w:spacing w:after="0" w:line="240" w:lineRule="auto"/>
        <w:ind w:left="0"/>
        <w:rPr>
          <w:rFonts w:ascii="Times New Roman" w:eastAsia="Times New Roman" w:hAnsi="Times New Roman" w:cs="Times New Roman"/>
          <w:b/>
          <w:i/>
          <w:sz w:val="24"/>
          <w:szCs w:val="24"/>
        </w:rPr>
      </w:pPr>
    </w:p>
    <w:p w14:paraId="1D156D4A" w14:textId="5A0E7BB5" w:rsidR="00A27C80" w:rsidRDefault="00A27C80">
      <w:pPr>
        <w:spacing w:after="0" w:line="240" w:lineRule="auto"/>
        <w:ind w:left="0"/>
        <w:rPr>
          <w:rFonts w:ascii="Times New Roman" w:eastAsia="Times New Roman" w:hAnsi="Times New Roman" w:cs="Times New Roman"/>
          <w:b/>
          <w:i/>
          <w:sz w:val="24"/>
          <w:szCs w:val="24"/>
        </w:rPr>
      </w:pPr>
    </w:p>
    <w:p w14:paraId="78ACC80F" w14:textId="1783EA94" w:rsidR="00A27C80" w:rsidRDefault="00A27C80">
      <w:pPr>
        <w:spacing w:after="0" w:line="240" w:lineRule="auto"/>
        <w:ind w:left="0"/>
        <w:rPr>
          <w:rFonts w:ascii="Times New Roman" w:eastAsia="Times New Roman" w:hAnsi="Times New Roman" w:cs="Times New Roman"/>
          <w:b/>
          <w:i/>
          <w:sz w:val="24"/>
          <w:szCs w:val="24"/>
        </w:rPr>
      </w:pPr>
    </w:p>
    <w:p w14:paraId="3ACADE72" w14:textId="77777777" w:rsidR="00A27C80" w:rsidRDefault="00A27C80">
      <w:pPr>
        <w:spacing w:after="0" w:line="240" w:lineRule="auto"/>
        <w:ind w:left="0"/>
        <w:rPr>
          <w:rFonts w:ascii="Times New Roman" w:eastAsia="Times New Roman" w:hAnsi="Times New Roman" w:cs="Times New Roman"/>
          <w:b/>
          <w:i/>
          <w:sz w:val="24"/>
          <w:szCs w:val="24"/>
        </w:rPr>
      </w:pPr>
    </w:p>
    <w:p w14:paraId="397786E9" w14:textId="77777777" w:rsidR="00B33822" w:rsidRDefault="00072DA4">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5.2.2. Constitución Política de Colombia:</w:t>
      </w:r>
    </w:p>
    <w:p w14:paraId="397F715C" w14:textId="77777777" w:rsidR="00B33822" w:rsidRDefault="00B33822">
      <w:pPr>
        <w:spacing w:after="0" w:line="240" w:lineRule="auto"/>
        <w:ind w:left="0"/>
        <w:rPr>
          <w:rFonts w:ascii="Times New Roman" w:eastAsia="Times New Roman" w:hAnsi="Times New Roman" w:cs="Times New Roman"/>
          <w:b/>
          <w:i/>
          <w:sz w:val="24"/>
          <w:szCs w:val="24"/>
        </w:rPr>
      </w:pPr>
    </w:p>
    <w:p w14:paraId="692CB2A8"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2°</w:t>
      </w:r>
      <w:r>
        <w:rPr>
          <w:rFonts w:ascii="Times New Roman" w:eastAsia="Times New Roman" w:hAnsi="Times New Roman" w:cs="Times New Roman"/>
          <w:i/>
          <w:sz w:val="24"/>
          <w:szCs w:val="24"/>
        </w:rPr>
        <w:t>.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72CEC7DF" w14:textId="77777777" w:rsidR="00B33822" w:rsidRDefault="00B33822">
      <w:pPr>
        <w:spacing w:after="0" w:line="240" w:lineRule="auto"/>
        <w:ind w:left="0"/>
        <w:rPr>
          <w:rFonts w:ascii="Times New Roman" w:eastAsia="Times New Roman" w:hAnsi="Times New Roman" w:cs="Times New Roman"/>
          <w:i/>
          <w:sz w:val="24"/>
          <w:szCs w:val="24"/>
        </w:rPr>
      </w:pPr>
    </w:p>
    <w:p w14:paraId="01D6A4FC"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22840B79" w14:textId="77777777" w:rsidR="00B33822" w:rsidRDefault="00B33822">
      <w:pPr>
        <w:spacing w:after="0" w:line="240" w:lineRule="auto"/>
        <w:ind w:left="0"/>
        <w:rPr>
          <w:rFonts w:ascii="Times New Roman" w:eastAsia="Times New Roman" w:hAnsi="Times New Roman" w:cs="Times New Roman"/>
          <w:i/>
          <w:sz w:val="24"/>
          <w:szCs w:val="24"/>
        </w:rPr>
      </w:pPr>
    </w:p>
    <w:p w14:paraId="3EB8F614"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46</w:t>
      </w:r>
      <w:r>
        <w:rPr>
          <w:rFonts w:ascii="Times New Roman" w:eastAsia="Times New Roman" w:hAnsi="Times New Roman" w:cs="Times New Roman"/>
          <w:i/>
          <w:sz w:val="24"/>
          <w:szCs w:val="24"/>
        </w:rPr>
        <w:t xml:space="preserve"> estipula que “El Estado, la sociedad y la familia concurrirán para la protección y la asistencia de las personas de la tercera edad y promoverán su integración a la vida activa y comunitaria. El Estado les garantizará los servicios de la seguridad social integral y el subsidio alimentario en caso de indigencia”.</w:t>
      </w:r>
    </w:p>
    <w:p w14:paraId="58C534EE" w14:textId="77777777" w:rsidR="00B33822" w:rsidRDefault="00B33822">
      <w:pPr>
        <w:spacing w:after="0" w:line="240" w:lineRule="auto"/>
        <w:ind w:left="0"/>
        <w:rPr>
          <w:rFonts w:ascii="Times New Roman" w:eastAsia="Times New Roman" w:hAnsi="Times New Roman" w:cs="Times New Roman"/>
          <w:i/>
          <w:sz w:val="24"/>
          <w:szCs w:val="24"/>
        </w:rPr>
      </w:pPr>
    </w:p>
    <w:p w14:paraId="208C7C3C"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47.</w:t>
      </w:r>
      <w:r>
        <w:rPr>
          <w:rFonts w:ascii="Times New Roman" w:eastAsia="Times New Roman" w:hAnsi="Times New Roman" w:cs="Times New Roman"/>
          <w:i/>
          <w:sz w:val="24"/>
          <w:szCs w:val="24"/>
        </w:rPr>
        <w:t> El Estado adelantará una política de previsión, rehabilitación e integración social para los disminuidos físicos, sensoriales y psíquicos, a quienes se prestará la atención especializada que requieran.</w:t>
      </w:r>
    </w:p>
    <w:p w14:paraId="4886C13E" w14:textId="77777777" w:rsidR="00B33822" w:rsidRDefault="00B33822">
      <w:pPr>
        <w:spacing w:after="0" w:line="240" w:lineRule="auto"/>
        <w:ind w:left="0"/>
        <w:rPr>
          <w:rFonts w:ascii="Times New Roman" w:eastAsia="Times New Roman" w:hAnsi="Times New Roman" w:cs="Times New Roman"/>
          <w:i/>
          <w:sz w:val="24"/>
          <w:szCs w:val="24"/>
        </w:rPr>
      </w:pPr>
    </w:p>
    <w:p w14:paraId="74B0513F" w14:textId="77777777" w:rsidR="00B33822" w:rsidRDefault="00072DA4">
      <w:pPr>
        <w:spacing w:after="0" w:line="240" w:lineRule="auto"/>
        <w:ind w:left="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5.2.3. Normas de rango legal y reglamentario</w:t>
      </w:r>
    </w:p>
    <w:p w14:paraId="2B29C30B" w14:textId="77777777" w:rsidR="00B33822" w:rsidRDefault="00B33822">
      <w:pPr>
        <w:spacing w:after="0" w:line="240" w:lineRule="auto"/>
        <w:ind w:left="0"/>
        <w:rPr>
          <w:rFonts w:ascii="Times New Roman" w:eastAsia="Times New Roman" w:hAnsi="Times New Roman" w:cs="Times New Roman"/>
          <w:b/>
          <w:i/>
          <w:sz w:val="24"/>
          <w:szCs w:val="24"/>
        </w:rPr>
      </w:pPr>
    </w:p>
    <w:p w14:paraId="7C2C38B6" w14:textId="77777777" w:rsidR="00B33822" w:rsidRDefault="00072DA4">
      <w:pPr>
        <w:spacing w:after="0" w:line="240" w:lineRule="auto"/>
        <w:ind w:left="0"/>
        <w:rPr>
          <w:rFonts w:ascii="Times New Roman" w:eastAsia="Times New Roman" w:hAnsi="Times New Roman" w:cs="Times New Roman"/>
          <w:i/>
          <w:color w:val="222222"/>
          <w:sz w:val="24"/>
          <w:szCs w:val="24"/>
        </w:rPr>
      </w:pPr>
      <w:r>
        <w:rPr>
          <w:rFonts w:ascii="Times New Roman" w:eastAsia="Times New Roman" w:hAnsi="Times New Roman" w:cs="Times New Roman"/>
          <w:i/>
          <w:color w:val="222222"/>
          <w:sz w:val="24"/>
          <w:szCs w:val="24"/>
        </w:rPr>
        <w:t>A partir de lo señalado por el artículo 46 de la Constitución Política, respecto de la responsabilidad del Estado, la Sociedad y la Familia en la protección e inclusión de los adultos mayores, se han expedido diferentes leyes que resaltan las especiales obligaciones de protección hacia estos sujetos de especial protección.</w:t>
      </w:r>
    </w:p>
    <w:p w14:paraId="47889567" w14:textId="77777777" w:rsidR="00B33822" w:rsidRDefault="00B33822">
      <w:pPr>
        <w:spacing w:after="0" w:line="240" w:lineRule="auto"/>
        <w:ind w:left="0"/>
        <w:rPr>
          <w:rFonts w:ascii="Times New Roman" w:eastAsia="Times New Roman" w:hAnsi="Times New Roman" w:cs="Times New Roman"/>
          <w:i/>
          <w:color w:val="222222"/>
          <w:sz w:val="24"/>
          <w:szCs w:val="24"/>
        </w:rPr>
      </w:pPr>
    </w:p>
    <w:p w14:paraId="5DD870D9"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Es así como la Ley 1251 de 2008</w:t>
      </w:r>
      <w:r>
        <w:rPr>
          <w:rFonts w:ascii="Times New Roman" w:eastAsia="Times New Roman" w:hAnsi="Times New Roman" w:cs="Times New Roman"/>
          <w:i/>
          <w:sz w:val="24"/>
          <w:szCs w:val="24"/>
          <w:vertAlign w:val="superscript"/>
        </w:rPr>
        <w:footnoteReference w:id="7"/>
      </w:r>
      <w:r>
        <w:rPr>
          <w:rFonts w:ascii="Times New Roman" w:eastAsia="Times New Roman" w:hAnsi="Times New Roman" w:cs="Times New Roman"/>
          <w:i/>
          <w:sz w:val="24"/>
          <w:szCs w:val="24"/>
        </w:rPr>
        <w:t xml:space="preserve">, tiene por objeto en su artículo 1°, </w:t>
      </w:r>
    </w:p>
    <w:p w14:paraId="536E2C44" w14:textId="77777777" w:rsidR="00B33822" w:rsidRDefault="00B33822">
      <w:pPr>
        <w:spacing w:after="0" w:line="240" w:lineRule="auto"/>
        <w:ind w:left="0"/>
        <w:rPr>
          <w:rFonts w:ascii="Times New Roman" w:eastAsia="Times New Roman" w:hAnsi="Times New Roman" w:cs="Times New Roman"/>
          <w:i/>
          <w:sz w:val="24"/>
          <w:szCs w:val="24"/>
        </w:rPr>
      </w:pPr>
    </w:p>
    <w:p w14:paraId="44A51B13"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1°. proteger, promover, restablecer y defender los derechos de los adultos mayores, orientar políticas que tengan en cuenta el proceso de envejecimiento, planes y programas por parte del Estado, la sociedad civil y la familia y regular el funcionamiento de las instituciones que prestan servicios de atención y desarrollo integral de las personas en su vejez, de conformidad con el artículo </w:t>
      </w:r>
      <w:hyperlink r:id="rId9" w:anchor="46">
        <w:r>
          <w:rPr>
            <w:rFonts w:ascii="Times New Roman" w:eastAsia="Times New Roman" w:hAnsi="Times New Roman" w:cs="Times New Roman"/>
            <w:i/>
            <w:sz w:val="24"/>
            <w:szCs w:val="24"/>
            <w:u w:val="single"/>
          </w:rPr>
          <w:t>46</w:t>
        </w:r>
      </w:hyperlink>
      <w:r>
        <w:rPr>
          <w:rFonts w:ascii="Times New Roman" w:eastAsia="Times New Roman" w:hAnsi="Times New Roman" w:cs="Times New Roman"/>
          <w:i/>
          <w:sz w:val="24"/>
          <w:szCs w:val="24"/>
        </w:rPr>
        <w:t> de la Constitución Nacional, la Declaración de los Derechos Humanos de 1948, Plan de Viena de 1982, Deberes del Hombre de 1948, la Asamblea Mundial de Madrid y los diversos Tratados y Convenios Internacionales suscritos por Colombia.</w:t>
      </w:r>
    </w:p>
    <w:p w14:paraId="0D0C70BC" w14:textId="77777777" w:rsidR="00B33822" w:rsidRDefault="00B33822">
      <w:pPr>
        <w:spacing w:after="0" w:line="240" w:lineRule="auto"/>
        <w:ind w:left="708"/>
        <w:rPr>
          <w:rFonts w:ascii="Times New Roman" w:eastAsia="Times New Roman" w:hAnsi="Times New Roman" w:cs="Times New Roman"/>
          <w:i/>
          <w:sz w:val="24"/>
          <w:szCs w:val="24"/>
        </w:rPr>
      </w:pPr>
    </w:p>
    <w:p w14:paraId="314DA50E"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La misma Ley consagra en su artículo 4°, aquellos derechos de los que gozan los adultos mayores, como la equidad, igualdad de oportunidades, libertad, dignidad, entre otros. Se destaca del presente artículo los literales B, D y H, los cuales indican: </w:t>
      </w:r>
    </w:p>
    <w:p w14:paraId="0AC1CBE0" w14:textId="77777777" w:rsidR="00B33822" w:rsidRDefault="00B33822">
      <w:pPr>
        <w:spacing w:after="0" w:line="240" w:lineRule="auto"/>
        <w:ind w:left="0"/>
        <w:rPr>
          <w:rFonts w:ascii="Times New Roman" w:eastAsia="Times New Roman" w:hAnsi="Times New Roman" w:cs="Times New Roman"/>
          <w:i/>
          <w:sz w:val="24"/>
          <w:szCs w:val="24"/>
        </w:rPr>
      </w:pPr>
    </w:p>
    <w:p w14:paraId="47B71648"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4o. PRINCIPIOS.</w:t>
      </w:r>
      <w:r>
        <w:rPr>
          <w:rFonts w:ascii="Times New Roman" w:eastAsia="Times New Roman" w:hAnsi="Times New Roman" w:cs="Times New Roman"/>
          <w:i/>
          <w:sz w:val="24"/>
          <w:szCs w:val="24"/>
        </w:rPr>
        <w:t> Para la aplicación de la presente ley se tendrán como principios rectores:</w:t>
      </w:r>
    </w:p>
    <w:p w14:paraId="55DEB40D" w14:textId="77777777" w:rsidR="00B33822" w:rsidRDefault="00B33822">
      <w:pPr>
        <w:spacing w:after="0" w:line="240" w:lineRule="auto"/>
        <w:ind w:left="708"/>
        <w:rPr>
          <w:rFonts w:ascii="Times New Roman" w:eastAsia="Times New Roman" w:hAnsi="Times New Roman" w:cs="Times New Roman"/>
          <w:i/>
          <w:sz w:val="24"/>
          <w:szCs w:val="24"/>
        </w:rPr>
      </w:pPr>
    </w:p>
    <w:p w14:paraId="5BAE4624"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b) Corresponsabilidad. </w:t>
      </w:r>
      <w:r>
        <w:rPr>
          <w:rFonts w:ascii="Times New Roman" w:eastAsia="Times New Roman" w:hAnsi="Times New Roman" w:cs="Times New Roman"/>
          <w:i/>
          <w:sz w:val="24"/>
          <w:szCs w:val="24"/>
        </w:rPr>
        <w:t>El Estado, la familia, la sociedad civil y los adultos mayores de manera conjunta deben promover, asistir y fortalecer la participación activa e integración de los adultos mayores en la planificación, ejecución y evaluación de los programas, planes y acciones que desarrollen para su inclusión en la vida política, económica, social y cultural de la Nación;</w:t>
      </w:r>
    </w:p>
    <w:p w14:paraId="47C5B0BD"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d) Acceso a beneficios. </w:t>
      </w:r>
      <w:r>
        <w:rPr>
          <w:rFonts w:ascii="Times New Roman" w:eastAsia="Times New Roman" w:hAnsi="Times New Roman" w:cs="Times New Roman"/>
          <w:i/>
          <w:sz w:val="24"/>
          <w:szCs w:val="24"/>
        </w:rPr>
        <w:t>El Estado, la sociedad y la familia deben garantizar a los adultos mayores el acceso a beneficios con el fin de eliminar las desigualdades sociales y territoriales;</w:t>
      </w:r>
    </w:p>
    <w:p w14:paraId="061A1E74"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h) Solidaridad. </w:t>
      </w:r>
      <w:r>
        <w:rPr>
          <w:rFonts w:ascii="Times New Roman" w:eastAsia="Times New Roman" w:hAnsi="Times New Roman" w:cs="Times New Roman"/>
          <w:i/>
          <w:sz w:val="24"/>
          <w:szCs w:val="24"/>
        </w:rPr>
        <w:t>Es deber del Estado, la sociedad y la familia frente al adulto mayor, brindar apoyo y ayuda de manera preferente cuando esté en condición de vulnerabilidad”.</w:t>
      </w:r>
    </w:p>
    <w:p w14:paraId="330EE8CF" w14:textId="77777777" w:rsidR="00B33822" w:rsidRDefault="00B33822">
      <w:pPr>
        <w:spacing w:after="0" w:line="240" w:lineRule="auto"/>
        <w:ind w:left="708"/>
        <w:rPr>
          <w:rFonts w:ascii="Times New Roman" w:eastAsia="Times New Roman" w:hAnsi="Times New Roman" w:cs="Times New Roman"/>
          <w:i/>
          <w:sz w:val="24"/>
          <w:szCs w:val="24"/>
        </w:rPr>
      </w:pPr>
    </w:p>
    <w:p w14:paraId="5E062E88"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Por su parte, se destaca la ley 1276 de 2009 que, en su artículo 11, señala:</w:t>
      </w:r>
    </w:p>
    <w:p w14:paraId="2E33EF60" w14:textId="77777777" w:rsidR="00B33822" w:rsidRDefault="00B33822">
      <w:pPr>
        <w:spacing w:after="0" w:line="240" w:lineRule="auto"/>
        <w:ind w:left="0"/>
        <w:rPr>
          <w:rFonts w:ascii="Times New Roman" w:eastAsia="Times New Roman" w:hAnsi="Times New Roman" w:cs="Times New Roman"/>
          <w:i/>
          <w:sz w:val="24"/>
          <w:szCs w:val="24"/>
        </w:rPr>
      </w:pPr>
    </w:p>
    <w:p w14:paraId="1972F2CB"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11. </w:t>
      </w:r>
      <w:r>
        <w:rPr>
          <w:rFonts w:ascii="Times New Roman" w:eastAsia="Times New Roman" w:hAnsi="Times New Roman" w:cs="Times New Roman"/>
          <w:i/>
          <w:sz w:val="24"/>
          <w:szCs w:val="24"/>
        </w:rPr>
        <w:t>Modifica el artículo 6° de la Ley 687 de 2001, el cual quedará así. Servicios mínimos que ofrecerá el Centro Vida. Sin perjuicio de que la entidad pueda mejorar esta canasta mínima de servicios, los Centros Vida ofrecerán al adulto mayor los siguientes:</w:t>
      </w:r>
    </w:p>
    <w:p w14:paraId="69D92312"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1). Alimentación que asegure la ingesta necesaria, a nivel proteico-calórico y de micronutrientes que garanticen buenas condiciones de salud para el adulto mayor, de acuerdo con los menús que de manera especial para los requerimientos de esta población, elaboren los profesionales de la nutrición.</w:t>
      </w:r>
    </w:p>
    <w:p w14:paraId="4A2354C3"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2). Orientación Psicosocial. Prestada de manera preventiva a toda la población objetivo, la cual persigue mitigar el efecto de las patologías de comportamiento que surgen en la tercera edad y los efectos a las que ellas conducen. Estará a cargo de profesionales en psicología y trabajo social. Cuando sea necesario, los adultos mayores serán remitidos a las entidades de la seguridad social para una atención más específica.</w:t>
      </w:r>
    </w:p>
    <w:p w14:paraId="487793E8"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3). Atención Primaria en Salud. La cual abarcará la promoción de estilos de vida saludable, de acuerdo con las características de los adultos mayores, prevención de enfermedades, detección oportuna de patologías y remisión a los servicios de salud cuando ello se requiera. Se incluye la atención primaria, entre otras, de patologías relacionadas con la malnutrición, medicina general, geriatría y odontología, apoyados en los recursos y actores de la Seguridad Social en Salud vigente en Colombia, en los términos que establecen las normas correspondientes.</w:t>
      </w:r>
    </w:p>
    <w:p w14:paraId="2E7207AB"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4). Aseguramiento en Salud. Será universal en todos los niveles de complejidad, incluyendo a los adultos mayores dentro de los grupos prioritarios que define la seguridad social en salud, como beneficiarios del régimen subsidiado.</w:t>
      </w:r>
    </w:p>
    <w:p w14:paraId="679D0389"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5). Capacitación en actividades productivas de acuerdo con los talentos, gustos y preferencias de la población beneficiaria.</w:t>
      </w:r>
    </w:p>
    <w:p w14:paraId="0D9D8580"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6). Deporte, cultura y recreación, suministrado por personas capacitadas.</w:t>
      </w:r>
    </w:p>
    <w:p w14:paraId="6F173419"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7). Encuentros intergeneracionales, en convenio con las instituciones educativas oficiales.</w:t>
      </w:r>
    </w:p>
    <w:p w14:paraId="6836908D"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8). Promoción del trabajo asociativo de los adultos mayores para la consecución de ingresos, cuando ello sea posible.</w:t>
      </w:r>
    </w:p>
    <w:p w14:paraId="1054599A"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9) Promoción de la constitución de redes para el apoyo permanente de los Adultos Mayores.</w:t>
      </w:r>
    </w:p>
    <w:p w14:paraId="0EFE1D66"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10). Uso de Internet, con el apoyo de los servicios que ofrece Compartel, como organismo de la conectividad nacional.</w:t>
      </w:r>
    </w:p>
    <w:p w14:paraId="45BA8B3A"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11). Auxilio Exequial mínimo de 1 salario mínimo mensual vigente, de acuerdo con las posibilidades económicas del ente territorial.</w:t>
      </w:r>
    </w:p>
    <w:p w14:paraId="207BFA40" w14:textId="77777777" w:rsidR="00B33822" w:rsidRDefault="00B33822">
      <w:pPr>
        <w:spacing w:after="0" w:line="240" w:lineRule="auto"/>
        <w:ind w:left="708"/>
        <w:rPr>
          <w:rFonts w:ascii="Times New Roman" w:eastAsia="Times New Roman" w:hAnsi="Times New Roman" w:cs="Times New Roman"/>
          <w:i/>
          <w:sz w:val="24"/>
          <w:szCs w:val="24"/>
        </w:rPr>
      </w:pPr>
    </w:p>
    <w:p w14:paraId="4F3C3C58"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Parágrafo 1°. </w:t>
      </w:r>
      <w:r>
        <w:rPr>
          <w:rFonts w:ascii="Times New Roman" w:eastAsia="Times New Roman" w:hAnsi="Times New Roman" w:cs="Times New Roman"/>
          <w:i/>
          <w:sz w:val="24"/>
          <w:szCs w:val="24"/>
        </w:rPr>
        <w:t>Con el propósito de racionalizar los costos y mejorar la calidad y cantidad de los servicios ofrecidos, los Centros Vida podrán firmar convenios con las universidades que posean carreras de ciencias de la salud (medicina, enfermería, odontología, nutrición, trabajo social, psicología, terapias, entre otras); carreras como educación física, artística; con el Sena y otros centros de capacitación que se requieran.</w:t>
      </w:r>
    </w:p>
    <w:p w14:paraId="54E3E6AA"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i/>
          <w:sz w:val="24"/>
          <w:szCs w:val="24"/>
        </w:rPr>
        <w:t>)</w:t>
      </w:r>
    </w:p>
    <w:p w14:paraId="4614FAC6" w14:textId="77777777" w:rsidR="00B33822" w:rsidRDefault="00B33822">
      <w:pPr>
        <w:spacing w:after="0" w:line="240" w:lineRule="auto"/>
        <w:ind w:left="708"/>
        <w:rPr>
          <w:rFonts w:ascii="Times New Roman" w:eastAsia="Times New Roman" w:hAnsi="Times New Roman" w:cs="Times New Roman"/>
          <w:i/>
          <w:sz w:val="24"/>
          <w:szCs w:val="24"/>
        </w:rPr>
      </w:pPr>
    </w:p>
    <w:p w14:paraId="2DE550CD"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Ley 1751 de 2015</w:t>
      </w:r>
      <w:r>
        <w:rPr>
          <w:rFonts w:ascii="Times New Roman" w:eastAsia="Times New Roman" w:hAnsi="Times New Roman" w:cs="Times New Roman"/>
          <w:i/>
          <w:sz w:val="24"/>
          <w:szCs w:val="24"/>
          <w:vertAlign w:val="superscript"/>
        </w:rPr>
        <w:footnoteReference w:id="8"/>
      </w: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t xml:space="preserve">La presente ley tiene por objeto garantizar el derecho fundamental a la salud, regularlo y establecer sus mecanismos de protección. </w:t>
      </w:r>
    </w:p>
    <w:p w14:paraId="51599E44"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76196FB7"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ARTÍCULO 11. SUJETOS DE ESPECIAL PROTECCIÓN. La atención de niños, niñas y adolescentes, mujeres en estado de embarazo, desplazados, víctimas de violencia y del conflicto armado, la población </w:t>
      </w:r>
      <w:r>
        <w:rPr>
          <w:rFonts w:ascii="Times New Roman" w:eastAsia="Times New Roman" w:hAnsi="Times New Roman" w:cs="Times New Roman"/>
          <w:i/>
          <w:sz w:val="24"/>
          <w:szCs w:val="24"/>
          <w:u w:val="single"/>
        </w:rPr>
        <w:t>adulta mayor,</w:t>
      </w:r>
      <w:r>
        <w:rPr>
          <w:rFonts w:ascii="Times New Roman" w:eastAsia="Times New Roman" w:hAnsi="Times New Roman" w:cs="Times New Roman"/>
          <w:i/>
          <w:sz w:val="24"/>
          <w:szCs w:val="24"/>
        </w:rPr>
        <w:t xml:space="preserve"> personas que sufren de enfermedades huérfanas y personas en condición de discapacidad, gozarán de especial protección por parte del Estado. (…). (subrayado y negrilla fuera del texto)</w:t>
      </w:r>
    </w:p>
    <w:p w14:paraId="48DFB797" w14:textId="77777777" w:rsidR="00B33822" w:rsidRDefault="00B33822">
      <w:pPr>
        <w:spacing w:after="0" w:line="240" w:lineRule="auto"/>
        <w:ind w:left="708"/>
        <w:rPr>
          <w:rFonts w:ascii="Times New Roman" w:eastAsia="Times New Roman" w:hAnsi="Times New Roman" w:cs="Times New Roman"/>
          <w:i/>
          <w:sz w:val="24"/>
          <w:szCs w:val="24"/>
        </w:rPr>
      </w:pPr>
    </w:p>
    <w:p w14:paraId="4992FC4A"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Ahora bien, la Ley 1850 DE 2017</w:t>
      </w:r>
      <w:r>
        <w:rPr>
          <w:rFonts w:ascii="Times New Roman" w:eastAsia="Times New Roman" w:hAnsi="Times New Roman" w:cs="Times New Roman"/>
          <w:b/>
          <w:i/>
          <w:sz w:val="24"/>
          <w:szCs w:val="24"/>
        </w:rPr>
        <w:t xml:space="preserve">, </w:t>
      </w:r>
      <w:r>
        <w:rPr>
          <w:rFonts w:ascii="Times New Roman" w:eastAsia="Times New Roman" w:hAnsi="Times New Roman" w:cs="Times New Roman"/>
          <w:i/>
          <w:sz w:val="24"/>
          <w:szCs w:val="24"/>
        </w:rPr>
        <w:t>Por medio de la cual se establecen medidas de protección al adulto mayor en Colombia, se modifican las Leyes </w:t>
      </w:r>
      <w:hyperlink r:id="rId10" w:anchor="INICIO">
        <w:r>
          <w:rPr>
            <w:rFonts w:ascii="Times New Roman" w:eastAsia="Times New Roman" w:hAnsi="Times New Roman" w:cs="Times New Roman"/>
            <w:i/>
            <w:sz w:val="24"/>
            <w:szCs w:val="24"/>
            <w:u w:val="single"/>
          </w:rPr>
          <w:t>1251</w:t>
        </w:r>
      </w:hyperlink>
      <w:r>
        <w:rPr>
          <w:rFonts w:ascii="Times New Roman" w:eastAsia="Times New Roman" w:hAnsi="Times New Roman" w:cs="Times New Roman"/>
          <w:i/>
          <w:sz w:val="24"/>
          <w:szCs w:val="24"/>
        </w:rPr>
        <w:t> de 2008, </w:t>
      </w:r>
      <w:hyperlink r:id="rId11" w:anchor="INICIO">
        <w:r>
          <w:rPr>
            <w:rFonts w:ascii="Times New Roman" w:eastAsia="Times New Roman" w:hAnsi="Times New Roman" w:cs="Times New Roman"/>
            <w:i/>
            <w:sz w:val="24"/>
            <w:szCs w:val="24"/>
            <w:u w:val="single"/>
          </w:rPr>
          <w:t>1315</w:t>
        </w:r>
      </w:hyperlink>
      <w:r>
        <w:rPr>
          <w:rFonts w:ascii="Times New Roman" w:eastAsia="Times New Roman" w:hAnsi="Times New Roman" w:cs="Times New Roman"/>
          <w:i/>
          <w:sz w:val="24"/>
          <w:szCs w:val="24"/>
        </w:rPr>
        <w:t> de 2009, </w:t>
      </w:r>
      <w:hyperlink r:id="rId12" w:anchor="INICIO">
        <w:r>
          <w:rPr>
            <w:rFonts w:ascii="Times New Roman" w:eastAsia="Times New Roman" w:hAnsi="Times New Roman" w:cs="Times New Roman"/>
            <w:i/>
            <w:sz w:val="24"/>
            <w:szCs w:val="24"/>
            <w:u w:val="single"/>
          </w:rPr>
          <w:t>599</w:t>
        </w:r>
      </w:hyperlink>
      <w:r>
        <w:rPr>
          <w:rFonts w:ascii="Times New Roman" w:eastAsia="Times New Roman" w:hAnsi="Times New Roman" w:cs="Times New Roman"/>
          <w:i/>
          <w:sz w:val="24"/>
          <w:szCs w:val="24"/>
        </w:rPr>
        <w:t> de 2000 y </w:t>
      </w:r>
      <w:hyperlink r:id="rId13" w:anchor="INICIO">
        <w:r>
          <w:rPr>
            <w:rFonts w:ascii="Times New Roman" w:eastAsia="Times New Roman" w:hAnsi="Times New Roman" w:cs="Times New Roman"/>
            <w:i/>
            <w:sz w:val="24"/>
            <w:szCs w:val="24"/>
            <w:u w:val="single"/>
          </w:rPr>
          <w:t>1276</w:t>
        </w:r>
      </w:hyperlink>
      <w:r>
        <w:rPr>
          <w:rFonts w:ascii="Times New Roman" w:eastAsia="Times New Roman" w:hAnsi="Times New Roman" w:cs="Times New Roman"/>
          <w:i/>
          <w:sz w:val="24"/>
          <w:szCs w:val="24"/>
        </w:rPr>
        <w:t> de 2009, se penaliza el maltrato intrafamiliar por abandono y se dictan otras disposiciones.</w:t>
      </w:r>
    </w:p>
    <w:p w14:paraId="26E573F5" w14:textId="77777777" w:rsidR="00B33822" w:rsidRDefault="00B33822">
      <w:pPr>
        <w:spacing w:after="0" w:line="240" w:lineRule="auto"/>
        <w:ind w:left="0"/>
        <w:rPr>
          <w:rFonts w:ascii="Times New Roman" w:eastAsia="Times New Roman" w:hAnsi="Times New Roman" w:cs="Times New Roman"/>
          <w:i/>
          <w:sz w:val="24"/>
          <w:szCs w:val="24"/>
        </w:rPr>
      </w:pPr>
    </w:p>
    <w:p w14:paraId="4B9E4602" w14:textId="51351D5C"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No obstante, la Ley 2040 de 2020, por medio de la cual se adoptan medidas para impulsar el trabajo para adultos mayores y se dictan otras disposiciones.</w:t>
      </w:r>
    </w:p>
    <w:p w14:paraId="7DB42A62" w14:textId="77777777" w:rsidR="00A27C80" w:rsidRDefault="00A27C80">
      <w:pPr>
        <w:spacing w:after="0" w:line="240" w:lineRule="auto"/>
        <w:ind w:left="0"/>
        <w:rPr>
          <w:rFonts w:ascii="Times New Roman" w:eastAsia="Times New Roman" w:hAnsi="Times New Roman" w:cs="Times New Roman"/>
          <w:i/>
          <w:sz w:val="24"/>
          <w:szCs w:val="24"/>
        </w:rPr>
      </w:pPr>
    </w:p>
    <w:p w14:paraId="11F0A9EC"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1o. OBJETO.</w:t>
      </w:r>
      <w:r>
        <w:rPr>
          <w:rFonts w:ascii="Times New Roman" w:eastAsia="Times New Roman" w:hAnsi="Times New Roman" w:cs="Times New Roman"/>
          <w:i/>
          <w:sz w:val="24"/>
          <w:szCs w:val="24"/>
        </w:rPr>
        <w:t> La presente ley tiene por objeto impulsar el empleo de las personas adultas mayores que no gozan de pensión, promoviendo la autonomía y autosuficiencia económica del adulto mayor, garantizando así el envejecimiento activo, satisfactorio y saludable de la población colombiana.</w:t>
      </w:r>
    </w:p>
    <w:p w14:paraId="7AFB228F"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Expuesto lo anterior, la Ley 2055 de 2020, Por medio de la cual se aprueba la “Convención Interamericana sobre la Protección de los Derechos Humanos de las Personas Mayores”, adoptada en Washington, el 15 de junio de 2015.</w:t>
      </w:r>
    </w:p>
    <w:p w14:paraId="0F69B439" w14:textId="77777777" w:rsidR="00B33822" w:rsidRDefault="00B33822">
      <w:pPr>
        <w:spacing w:after="0" w:line="240" w:lineRule="auto"/>
        <w:ind w:left="0"/>
        <w:rPr>
          <w:rFonts w:ascii="Times New Roman" w:eastAsia="Times New Roman" w:hAnsi="Times New Roman" w:cs="Times New Roman"/>
          <w:i/>
          <w:sz w:val="24"/>
          <w:szCs w:val="24"/>
        </w:rPr>
      </w:pPr>
    </w:p>
    <w:p w14:paraId="6533B450"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El objeto de la Convención es promover, proteger y asegurar el reconocimiento y el pleno goce y ejercicio, en condiciones de igualdad, de todos los derechos humanos y libertades fundamentales de la persona mayor, a fin de contribuir a su plena inclusión, integración y participación en la sociedad. Lo dispuesto en la presente Convención no se interpretará como una limitación a derechos o beneficios más amplios o adicionales que reconozcan el derecho internacional o las legislaciones internas de los Estados Parte, a favor de la persona mayor.</w:t>
      </w:r>
    </w:p>
    <w:p w14:paraId="0B995774" w14:textId="77777777" w:rsidR="00B33822" w:rsidRDefault="00B33822">
      <w:pPr>
        <w:spacing w:after="0" w:line="240" w:lineRule="auto"/>
        <w:ind w:left="0"/>
        <w:rPr>
          <w:rFonts w:ascii="Times New Roman" w:eastAsia="Times New Roman" w:hAnsi="Times New Roman" w:cs="Times New Roman"/>
          <w:i/>
          <w:sz w:val="24"/>
          <w:szCs w:val="24"/>
        </w:rPr>
      </w:pPr>
    </w:p>
    <w:p w14:paraId="14BCB052"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Si el ejercicio de los derechos y libertades mencionados en esta Convención no estuviere ya garantizado por disposiciones legislativas o de otro carácter, los Estados Parte se comprometen a adoptar, con arreglo a sus procedimientos constitucionales y a las disposiciones de esta Convención, las medidas legislativas o de otro carácter que fueren necesarias para hacer efectivos tales derechos y libertades.</w:t>
      </w:r>
    </w:p>
    <w:p w14:paraId="25C4EF97" w14:textId="77777777" w:rsidR="00B33822" w:rsidRDefault="00B33822">
      <w:pPr>
        <w:spacing w:after="0" w:line="240" w:lineRule="auto"/>
        <w:ind w:left="0"/>
        <w:rPr>
          <w:rFonts w:ascii="Times New Roman" w:eastAsia="Times New Roman" w:hAnsi="Times New Roman" w:cs="Times New Roman"/>
          <w:i/>
          <w:sz w:val="24"/>
          <w:szCs w:val="24"/>
        </w:rPr>
      </w:pPr>
    </w:p>
    <w:p w14:paraId="0F28375F"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Los Estados Parte sólo podrán establecer restricciones y limitaciones al goce y ejercicio de los derechos establecidos en la presente Convención mediante leyes promulgadas con el objeto de preservar el bienestar general dentro de una sociedad democrática, en la medida en que no contradigan el propósito y razón de los mismos.</w:t>
      </w:r>
    </w:p>
    <w:p w14:paraId="14E0DDE1"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11ACB438" w14:textId="77777777" w:rsidR="00B33822" w:rsidRDefault="00B33822">
      <w:pPr>
        <w:spacing w:after="0" w:line="240" w:lineRule="auto"/>
        <w:ind w:left="0"/>
        <w:rPr>
          <w:rFonts w:ascii="Times New Roman" w:eastAsia="Times New Roman" w:hAnsi="Times New Roman" w:cs="Times New Roman"/>
          <w:i/>
          <w:sz w:val="24"/>
          <w:szCs w:val="24"/>
        </w:rPr>
      </w:pPr>
    </w:p>
    <w:p w14:paraId="298A73A7" w14:textId="77777777" w:rsidR="00B33822" w:rsidRDefault="00072DA4">
      <w:pPr>
        <w:spacing w:after="0" w:line="240" w:lineRule="auto"/>
        <w:ind w:left="0"/>
        <w:rPr>
          <w:rFonts w:ascii="Times New Roman" w:eastAsia="Times New Roman" w:hAnsi="Times New Roman" w:cs="Times New Roman"/>
          <w:b/>
          <w:i/>
          <w:color w:val="333333"/>
          <w:sz w:val="24"/>
          <w:szCs w:val="24"/>
          <w:highlight w:val="white"/>
        </w:rPr>
      </w:pPr>
      <w:r>
        <w:rPr>
          <w:rFonts w:ascii="Times New Roman" w:eastAsia="Times New Roman" w:hAnsi="Times New Roman" w:cs="Times New Roman"/>
          <w:i/>
          <w:sz w:val="24"/>
          <w:szCs w:val="24"/>
        </w:rPr>
        <w:t>Decreto 2623 de 2009</w:t>
      </w:r>
      <w:r>
        <w:rPr>
          <w:rFonts w:ascii="Times New Roman" w:eastAsia="Times New Roman" w:hAnsi="Times New Roman" w:cs="Times New Roman"/>
          <w:i/>
          <w:sz w:val="24"/>
          <w:szCs w:val="24"/>
          <w:vertAlign w:val="superscript"/>
        </w:rPr>
        <w:footnoteReference w:id="9"/>
      </w:r>
      <w:r>
        <w:rPr>
          <w:rFonts w:ascii="Times New Roman" w:eastAsia="Times New Roman" w:hAnsi="Times New Roman" w:cs="Times New Roman"/>
          <w:i/>
          <w:sz w:val="24"/>
          <w:szCs w:val="24"/>
        </w:rPr>
        <w:t xml:space="preserve">. </w:t>
      </w:r>
      <w:r>
        <w:rPr>
          <w:rFonts w:ascii="Times New Roman" w:eastAsia="Times New Roman" w:hAnsi="Times New Roman" w:cs="Times New Roman"/>
          <w:b/>
          <w:i/>
          <w:color w:val="333333"/>
          <w:sz w:val="24"/>
          <w:szCs w:val="24"/>
          <w:highlight w:val="white"/>
        </w:rPr>
        <w:t>por el cual se crea el Sistema Nacional de Servicio al Ciudadano.</w:t>
      </w:r>
    </w:p>
    <w:p w14:paraId="3F83A70F" w14:textId="77777777" w:rsidR="00B33822" w:rsidRDefault="00B33822">
      <w:pPr>
        <w:spacing w:after="0" w:line="240" w:lineRule="auto"/>
        <w:ind w:left="0"/>
        <w:rPr>
          <w:rFonts w:ascii="Times New Roman" w:eastAsia="Times New Roman" w:hAnsi="Times New Roman" w:cs="Times New Roman"/>
          <w:b/>
          <w:i/>
          <w:color w:val="333333"/>
          <w:sz w:val="24"/>
          <w:szCs w:val="24"/>
          <w:highlight w:val="white"/>
        </w:rPr>
      </w:pPr>
    </w:p>
    <w:p w14:paraId="38ACB8AD" w14:textId="77777777" w:rsidR="00B33822" w:rsidRDefault="00072DA4">
      <w:pPr>
        <w:shd w:val="clear" w:color="auto" w:fill="FFFFFF"/>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“Artículo 5°. </w:t>
      </w:r>
      <w:r>
        <w:rPr>
          <w:rFonts w:ascii="Times New Roman" w:eastAsia="Times New Roman" w:hAnsi="Times New Roman" w:cs="Times New Roman"/>
          <w:i/>
          <w:sz w:val="24"/>
          <w:szCs w:val="24"/>
        </w:rPr>
        <w:t>Objetivos. El Sistema Nacional de Servicio al Ciudadano tendrá los siguientes objetivos:</w:t>
      </w:r>
    </w:p>
    <w:p w14:paraId="55359099" w14:textId="77777777" w:rsidR="00B33822" w:rsidRDefault="00B33822">
      <w:pPr>
        <w:shd w:val="clear" w:color="auto" w:fill="FFFFFF"/>
        <w:spacing w:after="0" w:line="240" w:lineRule="auto"/>
        <w:ind w:left="708"/>
        <w:rPr>
          <w:rFonts w:ascii="Times New Roman" w:eastAsia="Times New Roman" w:hAnsi="Times New Roman" w:cs="Times New Roman"/>
          <w:i/>
          <w:sz w:val="24"/>
          <w:szCs w:val="24"/>
        </w:rPr>
      </w:pPr>
    </w:p>
    <w:p w14:paraId="02F92FED" w14:textId="77777777" w:rsidR="00B33822" w:rsidRDefault="00072DA4">
      <w:pPr>
        <w:shd w:val="clear" w:color="auto" w:fill="FFFFFF"/>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a) Fomentar el fortalecimiento institucional de las entidades y dependencias encargadas del servicio al ciudadano, mediante la expedición de lineamientos y políticas de mejoramiento y la generación de herramientas de asistencia técnica para aumentar la calidad del servicio que prestan.</w:t>
      </w:r>
    </w:p>
    <w:p w14:paraId="2CB0519E" w14:textId="77777777" w:rsidR="00B33822" w:rsidRDefault="00072DA4">
      <w:pPr>
        <w:shd w:val="clear" w:color="auto" w:fill="FFFFFF"/>
        <w:spacing w:after="0" w:line="240" w:lineRule="auto"/>
        <w:ind w:left="0" w:firstLine="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b) Fortalecer los canales de atención al ciudadano en las entidades públicas.</w:t>
      </w:r>
    </w:p>
    <w:p w14:paraId="0337EEED" w14:textId="77777777" w:rsidR="00B33822" w:rsidRDefault="00072DA4">
      <w:pPr>
        <w:shd w:val="clear" w:color="auto" w:fill="FFFFFF"/>
        <w:spacing w:after="0" w:line="240" w:lineRule="auto"/>
        <w:ind w:left="0" w:firstLine="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13D59A05" w14:textId="77777777" w:rsidR="00B33822" w:rsidRDefault="00B33822">
      <w:pPr>
        <w:shd w:val="clear" w:color="auto" w:fill="FFFFFF"/>
        <w:spacing w:after="0" w:line="240" w:lineRule="auto"/>
        <w:ind w:left="0" w:firstLine="708"/>
        <w:rPr>
          <w:rFonts w:ascii="Times New Roman" w:eastAsia="Times New Roman" w:hAnsi="Times New Roman" w:cs="Times New Roman"/>
          <w:i/>
          <w:sz w:val="24"/>
          <w:szCs w:val="24"/>
        </w:rPr>
      </w:pPr>
    </w:p>
    <w:p w14:paraId="048273D6" w14:textId="77777777" w:rsidR="00B33822" w:rsidRDefault="00072DA4">
      <w:pPr>
        <w:spacing w:after="0" w:line="240" w:lineRule="auto"/>
        <w:ind w:left="0"/>
        <w:rPr>
          <w:rFonts w:ascii="Times New Roman" w:eastAsia="Times New Roman" w:hAnsi="Times New Roman" w:cs="Times New Roman"/>
          <w:b/>
          <w:i/>
          <w:sz w:val="24"/>
          <w:szCs w:val="24"/>
          <w:highlight w:val="white"/>
        </w:rPr>
      </w:pPr>
      <w:r>
        <w:rPr>
          <w:rFonts w:ascii="Times New Roman" w:eastAsia="Times New Roman" w:hAnsi="Times New Roman" w:cs="Times New Roman"/>
          <w:i/>
          <w:sz w:val="24"/>
          <w:szCs w:val="24"/>
        </w:rPr>
        <w:t>Decreto 2573 de 2014</w:t>
      </w:r>
      <w:r>
        <w:rPr>
          <w:rFonts w:ascii="Times New Roman" w:eastAsia="Times New Roman" w:hAnsi="Times New Roman" w:cs="Times New Roman"/>
          <w:i/>
          <w:sz w:val="24"/>
          <w:szCs w:val="24"/>
          <w:vertAlign w:val="superscript"/>
        </w:rPr>
        <w:footnoteReference w:id="10"/>
      </w:r>
      <w:r>
        <w:rPr>
          <w:rFonts w:ascii="Times New Roman" w:eastAsia="Times New Roman" w:hAnsi="Times New Roman" w:cs="Times New Roman"/>
          <w:i/>
          <w:sz w:val="24"/>
          <w:szCs w:val="24"/>
        </w:rPr>
        <w:t>.</w:t>
      </w:r>
      <w:r>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highlight w:val="white"/>
        </w:rPr>
        <w:t>Por el cual se establecen los lineamientos generales de la Estrategia de Gobierno en línea, se reglamenta parcialmente la Ley </w:t>
      </w:r>
      <w:hyperlink r:id="rId14" w:anchor="0">
        <w:r>
          <w:rPr>
            <w:rFonts w:ascii="Times New Roman" w:eastAsia="Times New Roman" w:hAnsi="Times New Roman" w:cs="Times New Roman"/>
            <w:i/>
            <w:sz w:val="24"/>
            <w:szCs w:val="24"/>
            <w:u w:val="single"/>
          </w:rPr>
          <w:t>1341</w:t>
        </w:r>
      </w:hyperlink>
      <w:r>
        <w:rPr>
          <w:rFonts w:ascii="Times New Roman" w:eastAsia="Times New Roman" w:hAnsi="Times New Roman" w:cs="Times New Roman"/>
          <w:b/>
          <w:i/>
          <w:sz w:val="24"/>
          <w:szCs w:val="24"/>
          <w:highlight w:val="white"/>
        </w:rPr>
        <w:t> de 2009 y se dictan otras disposiciones.</w:t>
      </w:r>
    </w:p>
    <w:p w14:paraId="1BA27DD6" w14:textId="77777777" w:rsidR="00B33822" w:rsidRDefault="00B33822">
      <w:pPr>
        <w:spacing w:after="0" w:line="240" w:lineRule="auto"/>
        <w:ind w:left="0"/>
        <w:rPr>
          <w:rFonts w:ascii="Times New Roman" w:eastAsia="Times New Roman" w:hAnsi="Times New Roman" w:cs="Times New Roman"/>
          <w:b/>
          <w:i/>
          <w:sz w:val="24"/>
          <w:szCs w:val="24"/>
          <w:highlight w:val="white"/>
        </w:rPr>
      </w:pPr>
    </w:p>
    <w:p w14:paraId="43C22AD9" w14:textId="77777777" w:rsidR="00B33822" w:rsidRDefault="00072DA4">
      <w:pPr>
        <w:shd w:val="clear" w:color="auto" w:fill="FFFFFF"/>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“Artículo 1°. Objeto. Definir los lineamientos, instrumentos y plazos de la estrategia de Gobierno en Línea para garantizar el máximo aprovechamiento de </w:t>
      </w:r>
      <w:r>
        <w:rPr>
          <w:rFonts w:ascii="Times New Roman" w:eastAsia="Times New Roman" w:hAnsi="Times New Roman" w:cs="Times New Roman"/>
          <w:i/>
          <w:sz w:val="24"/>
          <w:szCs w:val="24"/>
        </w:rPr>
        <w:lastRenderedPageBreak/>
        <w:t>las Tecnologías de la Información y las Comunicaciones, con el fin de contribuir con la construcción de un Estado abierto, más eficiente, más transparente y más participativo y que preste mejores servicios con la colaboración de toda la sociedad.</w:t>
      </w:r>
    </w:p>
    <w:p w14:paraId="0AF291D7" w14:textId="77777777" w:rsidR="00B33822" w:rsidRDefault="00B33822">
      <w:pPr>
        <w:shd w:val="clear" w:color="auto" w:fill="FFFFFF"/>
        <w:spacing w:after="0" w:line="240" w:lineRule="auto"/>
        <w:ind w:left="708"/>
        <w:rPr>
          <w:rFonts w:ascii="Times New Roman" w:eastAsia="Times New Roman" w:hAnsi="Times New Roman" w:cs="Times New Roman"/>
          <w:i/>
          <w:sz w:val="24"/>
          <w:szCs w:val="24"/>
        </w:rPr>
      </w:pPr>
    </w:p>
    <w:p w14:paraId="16D191C4" w14:textId="77777777" w:rsidR="00B33822" w:rsidRDefault="00072DA4">
      <w:pPr>
        <w:shd w:val="clear" w:color="auto" w:fill="FFFFFF"/>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2°. Ámbito de aplicación. Serán sujetos obligados de las disposiciones contenidas en el presente Decreto las entidades que conforman la Administración Pública en los términos del artículo </w:t>
      </w:r>
      <w:hyperlink r:id="rId15" w:anchor="39">
        <w:r>
          <w:rPr>
            <w:rFonts w:ascii="Times New Roman" w:eastAsia="Times New Roman" w:hAnsi="Times New Roman" w:cs="Times New Roman"/>
            <w:i/>
            <w:sz w:val="24"/>
            <w:szCs w:val="24"/>
            <w:u w:val="single"/>
          </w:rPr>
          <w:t>39</w:t>
        </w:r>
      </w:hyperlink>
      <w:r>
        <w:rPr>
          <w:rFonts w:ascii="Times New Roman" w:eastAsia="Times New Roman" w:hAnsi="Times New Roman" w:cs="Times New Roman"/>
          <w:i/>
          <w:sz w:val="24"/>
          <w:szCs w:val="24"/>
        </w:rPr>
        <w:t> de la Ley 489 de 1998 y los particulares que cumplen funciones administrativas.</w:t>
      </w:r>
    </w:p>
    <w:p w14:paraId="00D1C993" w14:textId="77777777" w:rsidR="00B33822" w:rsidRDefault="00072DA4">
      <w:pPr>
        <w:shd w:val="clear" w:color="auto" w:fill="FFFFFF"/>
        <w:spacing w:after="0" w:line="240" w:lineRule="auto"/>
        <w:ind w:left="0" w:firstLine="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0B2EB6D1" w14:textId="77777777" w:rsidR="00B33822" w:rsidRDefault="00B33822">
      <w:pPr>
        <w:shd w:val="clear" w:color="auto" w:fill="FFFFFF"/>
        <w:spacing w:after="0" w:line="240" w:lineRule="auto"/>
        <w:ind w:left="0" w:firstLine="708"/>
        <w:rPr>
          <w:rFonts w:ascii="Times New Roman" w:eastAsia="Times New Roman" w:hAnsi="Times New Roman" w:cs="Times New Roman"/>
          <w:i/>
          <w:sz w:val="24"/>
          <w:szCs w:val="24"/>
        </w:rPr>
      </w:pPr>
    </w:p>
    <w:p w14:paraId="1A281C10" w14:textId="77777777" w:rsidR="00B33822" w:rsidRDefault="00072DA4">
      <w:pPr>
        <w:shd w:val="clear" w:color="auto" w:fill="FFFFFF"/>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4°. Principios y fundamentos de la Estrategia de Gobierno en Línea. La Estrategia de Gobierno en Línea se desarrollará conforme a los principios del debido proceso, igualdad, imparcialidad, buena fe, moralidad, participación, responsabilidad, transparencia, publicidad, coordinación, eficacia, economía y celeridad consagrados en los artículos </w:t>
      </w:r>
      <w:hyperlink r:id="rId16" w:anchor="209">
        <w:r>
          <w:rPr>
            <w:rFonts w:ascii="Times New Roman" w:eastAsia="Times New Roman" w:hAnsi="Times New Roman" w:cs="Times New Roman"/>
            <w:i/>
            <w:sz w:val="24"/>
            <w:szCs w:val="24"/>
            <w:u w:val="single"/>
          </w:rPr>
          <w:t>209</w:t>
        </w:r>
      </w:hyperlink>
      <w:r>
        <w:rPr>
          <w:rFonts w:ascii="Times New Roman" w:eastAsia="Times New Roman" w:hAnsi="Times New Roman" w:cs="Times New Roman"/>
          <w:i/>
          <w:sz w:val="24"/>
          <w:szCs w:val="24"/>
        </w:rPr>
        <w:t> de la Constitución Política, </w:t>
      </w:r>
      <w:hyperlink r:id="rId17" w:anchor="3">
        <w:r>
          <w:rPr>
            <w:rFonts w:ascii="Times New Roman" w:eastAsia="Times New Roman" w:hAnsi="Times New Roman" w:cs="Times New Roman"/>
            <w:i/>
            <w:sz w:val="24"/>
            <w:szCs w:val="24"/>
            <w:u w:val="single"/>
          </w:rPr>
          <w:t>3°</w:t>
        </w:r>
      </w:hyperlink>
      <w:r>
        <w:rPr>
          <w:rFonts w:ascii="Times New Roman" w:eastAsia="Times New Roman" w:hAnsi="Times New Roman" w:cs="Times New Roman"/>
          <w:i/>
          <w:sz w:val="24"/>
          <w:szCs w:val="24"/>
        </w:rPr>
        <w:t> de la Ley 489 de 1998 y </w:t>
      </w:r>
      <w:hyperlink r:id="rId18" w:anchor="3">
        <w:r>
          <w:rPr>
            <w:rFonts w:ascii="Times New Roman" w:eastAsia="Times New Roman" w:hAnsi="Times New Roman" w:cs="Times New Roman"/>
            <w:i/>
            <w:sz w:val="24"/>
            <w:szCs w:val="24"/>
            <w:u w:val="single"/>
          </w:rPr>
          <w:t>3°</w:t>
        </w:r>
      </w:hyperlink>
      <w:r>
        <w:rPr>
          <w:rFonts w:ascii="Times New Roman" w:eastAsia="Times New Roman" w:hAnsi="Times New Roman" w:cs="Times New Roman"/>
          <w:i/>
          <w:sz w:val="24"/>
          <w:szCs w:val="24"/>
        </w:rPr>
        <w:t> de la Ley 1437 de 2011.</w:t>
      </w:r>
    </w:p>
    <w:p w14:paraId="0FC95045" w14:textId="77777777" w:rsidR="00B33822" w:rsidRDefault="00072DA4">
      <w:pPr>
        <w:shd w:val="clear" w:color="auto" w:fill="FFFFFF"/>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3919169C" w14:textId="77777777" w:rsidR="00B33822" w:rsidRDefault="00B33822">
      <w:pPr>
        <w:spacing w:after="0" w:line="240" w:lineRule="auto"/>
        <w:ind w:left="0"/>
        <w:jc w:val="left"/>
        <w:rPr>
          <w:rFonts w:ascii="Times New Roman" w:eastAsia="Times New Roman" w:hAnsi="Times New Roman" w:cs="Times New Roman"/>
          <w:i/>
          <w:sz w:val="24"/>
          <w:szCs w:val="24"/>
        </w:rPr>
      </w:pPr>
    </w:p>
    <w:p w14:paraId="12852EF6"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El Decreto 681 de 2022</w:t>
      </w:r>
      <w:r>
        <w:rPr>
          <w:rFonts w:ascii="Times New Roman" w:eastAsia="Times New Roman" w:hAnsi="Times New Roman" w:cs="Times New Roman"/>
          <w:i/>
          <w:sz w:val="24"/>
          <w:szCs w:val="24"/>
          <w:vertAlign w:val="superscript"/>
        </w:rPr>
        <w:footnoteReference w:id="11"/>
      </w:r>
      <w:r>
        <w:rPr>
          <w:rFonts w:ascii="Times New Roman" w:eastAsia="Times New Roman" w:hAnsi="Times New Roman" w:cs="Times New Roman"/>
          <w:i/>
          <w:sz w:val="24"/>
          <w:szCs w:val="24"/>
        </w:rPr>
        <w:t>. Por medio del cual se adiciona el Capítulo 7 al Título 2 de la Parte 9 del Libro 2 del Decreto 780 de 2016 relativo a la Política Pública Nacional de Envejecimiento y Vejez 2022 – 2031.</w:t>
      </w:r>
    </w:p>
    <w:p w14:paraId="1A674BCA" w14:textId="77777777" w:rsidR="00B33822" w:rsidRDefault="00072DA4">
      <w:pPr>
        <w:spacing w:after="0" w:line="240" w:lineRule="auto"/>
        <w:ind w:left="0" w:firstLine="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07D3559C"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2.9.2.7.1. Objeto. El presente capítulo tiene como objeto adoptar la Política Pública Nacional de Envejecimiento y Vejez 2022— 2031 contenida en el Anexo Técnico 3 que hace parte integral del presente acto administrativo, disponer la formulación del Plan Nacional de Acción Intersectorial de la Política Nacional de Envejecimiento y Vejez, y la creación del Observatorio Nacional de Envejecimiento y Vejez.</w:t>
      </w:r>
    </w:p>
    <w:p w14:paraId="5187F140" w14:textId="77777777" w:rsidR="00B33822" w:rsidRDefault="00B33822">
      <w:pPr>
        <w:spacing w:after="0" w:line="240" w:lineRule="auto"/>
        <w:ind w:left="708"/>
        <w:rPr>
          <w:rFonts w:ascii="Times New Roman" w:eastAsia="Times New Roman" w:hAnsi="Times New Roman" w:cs="Times New Roman"/>
          <w:i/>
          <w:sz w:val="24"/>
          <w:szCs w:val="24"/>
        </w:rPr>
      </w:pPr>
    </w:p>
    <w:p w14:paraId="673F0B33" w14:textId="77777777" w:rsidR="00B33822" w:rsidRDefault="00072DA4">
      <w:pPr>
        <w:spacing w:after="0" w:line="240" w:lineRule="auto"/>
        <w:ind w:left="708" w:firstLine="60"/>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2.9.2.7.2. Plan Nacional de Acción Intersectorial para la Implementación de la Política Nacional de Envejecimiento y Vejez. A través del Plan Nacional de Acción Intersectorial para la Implementación de la Política Nacional de Envejecimiento y Vejez se definirán las metas, acciones, responsables, recursos e indicadores de gestión, resultado e impacto, de corto, mediano y largo plazo, de cada una de las líneas de acción establecidas en la Política Nacional de Envejecimiento y Vejez que se adopta a través del presente decreto, coherentes con las áreas de intervención establecidas en el artículo 17 de la Ley 1251 de 2008.</w:t>
      </w:r>
    </w:p>
    <w:p w14:paraId="789D9364"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ab/>
        <w:t>(…)”</w:t>
      </w:r>
    </w:p>
    <w:p w14:paraId="502C6ACC" w14:textId="77777777" w:rsidR="00B33822" w:rsidRDefault="00072DA4">
      <w:pPr>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ABANDONO DE PERSONA EN SITUACIÓN DE VULNERABILIDAD POR RAZONES DE SALUD CONSTITUYE VIOLENCIA INTRAFAMILIAR- SENTENCIA T-117 DE 2023</w:t>
      </w:r>
    </w:p>
    <w:p w14:paraId="5309FD88" w14:textId="77777777" w:rsidR="00B33822" w:rsidRDefault="00072DA4">
      <w:pPr>
        <w:spacing w:after="0" w:line="240" w:lineRule="auto"/>
        <w:ind w:left="0" w:firstLine="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41503A0D" w14:textId="77777777" w:rsidR="00B33822" w:rsidRDefault="00072DA4">
      <w:pPr>
        <w:spacing w:after="0" w:line="240" w:lineRule="auto"/>
        <w:ind w:left="708"/>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23. La decisión del núcleo familiar de la agenciada de no hacerse cargo de sus cuidados constituye un incumplimiento del deber de solidaridad que tiene la familia frente a sus miembros más vulnerables, como lo son los adultos mayores y las personas en situación de discapacidad, y constituye una forma de violencia intrafamiliar que es social y jurídicamente reprochable [61] . Por su parte, la administración distrital no adoptó medidas urgentes para el caso de la accionante, desde la primera solicitud transcurrió más de un año sin obtener la asistencia social requerida.</w:t>
      </w:r>
    </w:p>
    <w:p w14:paraId="3DCFD0ED" w14:textId="77777777" w:rsidR="00B33822" w:rsidRDefault="00072DA4">
      <w:pPr>
        <w:spacing w:after="0" w:line="240" w:lineRule="auto"/>
        <w:ind w:left="0" w:firstLine="708"/>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688EE385" w14:textId="77777777" w:rsidR="00B33822" w:rsidRDefault="00B33822">
      <w:pPr>
        <w:spacing w:after="0" w:line="240" w:lineRule="auto"/>
        <w:ind w:left="0"/>
        <w:jc w:val="left"/>
        <w:rPr>
          <w:rFonts w:ascii="Times New Roman" w:eastAsia="Times New Roman" w:hAnsi="Times New Roman" w:cs="Times New Roman"/>
          <w:b/>
          <w:i/>
          <w:sz w:val="24"/>
          <w:szCs w:val="24"/>
          <w:highlight w:val="yellow"/>
        </w:rPr>
      </w:pPr>
    </w:p>
    <w:p w14:paraId="4CBB53D6" w14:textId="77777777" w:rsidR="00B33822" w:rsidRDefault="00072DA4">
      <w:pPr>
        <w:shd w:val="clear" w:color="auto" w:fill="FFFFFF"/>
        <w:spacing w:after="0" w:line="240" w:lineRule="auto"/>
        <w:ind w:left="0"/>
        <w:rPr>
          <w:rFonts w:ascii="Times New Roman" w:eastAsia="Times New Roman" w:hAnsi="Times New Roman" w:cs="Times New Roman"/>
          <w:b/>
          <w:i/>
          <w:color w:val="333333"/>
          <w:sz w:val="24"/>
          <w:szCs w:val="24"/>
          <w:highlight w:val="white"/>
        </w:rPr>
      </w:pPr>
      <w:r>
        <w:rPr>
          <w:rFonts w:ascii="Times New Roman" w:eastAsia="Times New Roman" w:hAnsi="Times New Roman" w:cs="Times New Roman"/>
          <w:b/>
          <w:i/>
          <w:color w:val="333333"/>
          <w:sz w:val="24"/>
          <w:szCs w:val="24"/>
        </w:rPr>
        <w:t xml:space="preserve">Decreto 544 de 2011, </w:t>
      </w:r>
      <w:r>
        <w:rPr>
          <w:rFonts w:ascii="Times New Roman" w:eastAsia="Times New Roman" w:hAnsi="Times New Roman" w:cs="Times New Roman"/>
          <w:b/>
          <w:i/>
          <w:color w:val="333333"/>
          <w:sz w:val="24"/>
          <w:szCs w:val="24"/>
          <w:highlight w:val="white"/>
        </w:rPr>
        <w:t>"Por el cual se adopta la Política Pública de y para la Adultez en el Distrito Capital”</w:t>
      </w:r>
    </w:p>
    <w:p w14:paraId="498C0F82" w14:textId="77777777" w:rsidR="00B33822" w:rsidRDefault="00B33822">
      <w:pPr>
        <w:shd w:val="clear" w:color="auto" w:fill="FFFFFF"/>
        <w:spacing w:after="0" w:line="240" w:lineRule="auto"/>
        <w:ind w:left="0"/>
        <w:rPr>
          <w:rFonts w:ascii="Times New Roman" w:eastAsia="Times New Roman" w:hAnsi="Times New Roman" w:cs="Times New Roman"/>
          <w:b/>
          <w:i/>
          <w:color w:val="333333"/>
          <w:sz w:val="24"/>
          <w:szCs w:val="24"/>
          <w:highlight w:val="white"/>
        </w:rPr>
      </w:pPr>
    </w:p>
    <w:p w14:paraId="1D3BD51B" w14:textId="77777777" w:rsidR="00B33822" w:rsidRDefault="00072DA4">
      <w:pPr>
        <w:spacing w:after="0" w:line="240" w:lineRule="auto"/>
        <w:ind w:left="0"/>
        <w:rPr>
          <w:rFonts w:ascii="Times New Roman" w:eastAsia="Times New Roman" w:hAnsi="Times New Roman" w:cs="Times New Roman"/>
          <w:b/>
          <w:i/>
          <w:color w:val="333333"/>
          <w:sz w:val="24"/>
          <w:szCs w:val="24"/>
          <w:highlight w:val="white"/>
        </w:rPr>
      </w:pPr>
      <w:r>
        <w:rPr>
          <w:rFonts w:ascii="Times New Roman" w:eastAsia="Times New Roman" w:hAnsi="Times New Roman" w:cs="Times New Roman"/>
          <w:b/>
          <w:i/>
          <w:color w:val="333333"/>
          <w:sz w:val="24"/>
          <w:szCs w:val="24"/>
          <w:highlight w:val="white"/>
        </w:rPr>
        <w:t>TÍTULO II</w:t>
      </w:r>
    </w:p>
    <w:p w14:paraId="1B6B2F59" w14:textId="77777777" w:rsidR="00B33822" w:rsidRDefault="00072DA4">
      <w:pPr>
        <w:spacing w:after="0" w:line="240" w:lineRule="auto"/>
        <w:ind w:left="0"/>
        <w:rPr>
          <w:rFonts w:ascii="Times New Roman" w:eastAsia="Times New Roman" w:hAnsi="Times New Roman" w:cs="Times New Roman"/>
          <w:b/>
          <w:i/>
          <w:color w:val="333333"/>
          <w:sz w:val="24"/>
          <w:szCs w:val="24"/>
          <w:highlight w:val="white"/>
        </w:rPr>
      </w:pPr>
      <w:r>
        <w:rPr>
          <w:rFonts w:ascii="Times New Roman" w:eastAsia="Times New Roman" w:hAnsi="Times New Roman" w:cs="Times New Roman"/>
          <w:b/>
          <w:i/>
          <w:color w:val="333333"/>
          <w:sz w:val="24"/>
          <w:szCs w:val="24"/>
          <w:highlight w:val="white"/>
        </w:rPr>
        <w:t>OBJETIVOS, VALORES FUNDADOS, PRINCIPIOS, DIMENSIONES, EJES Y LÍNEAS ESTRATÉGICAS.</w:t>
      </w:r>
    </w:p>
    <w:p w14:paraId="7A042832" w14:textId="77777777" w:rsidR="00B33822" w:rsidRDefault="00B33822">
      <w:pPr>
        <w:spacing w:after="0" w:line="240" w:lineRule="auto"/>
        <w:ind w:left="0"/>
        <w:rPr>
          <w:rFonts w:ascii="Times New Roman" w:eastAsia="Times New Roman" w:hAnsi="Times New Roman" w:cs="Times New Roman"/>
          <w:b/>
          <w:i/>
          <w:color w:val="333333"/>
          <w:sz w:val="24"/>
          <w:szCs w:val="24"/>
          <w:highlight w:val="white"/>
        </w:rPr>
      </w:pPr>
    </w:p>
    <w:p w14:paraId="0C86EF38" w14:textId="77777777" w:rsidR="00B33822" w:rsidRDefault="00072DA4">
      <w:pPr>
        <w:spacing w:after="0" w:line="240" w:lineRule="auto"/>
        <w:ind w:left="0"/>
        <w:rPr>
          <w:rFonts w:ascii="Times New Roman" w:eastAsia="Times New Roman" w:hAnsi="Times New Roman" w:cs="Times New Roman"/>
          <w:i/>
          <w:color w:val="333333"/>
          <w:sz w:val="24"/>
          <w:szCs w:val="24"/>
          <w:highlight w:val="white"/>
        </w:rPr>
      </w:pPr>
      <w:r>
        <w:rPr>
          <w:rFonts w:ascii="Times New Roman" w:eastAsia="Times New Roman" w:hAnsi="Times New Roman" w:cs="Times New Roman"/>
          <w:b/>
          <w:i/>
          <w:color w:val="333333"/>
          <w:sz w:val="24"/>
          <w:szCs w:val="24"/>
          <w:highlight w:val="white"/>
        </w:rPr>
        <w:tab/>
        <w:t>“</w:t>
      </w:r>
      <w:r>
        <w:rPr>
          <w:rFonts w:ascii="Times New Roman" w:eastAsia="Times New Roman" w:hAnsi="Times New Roman" w:cs="Times New Roman"/>
          <w:i/>
          <w:color w:val="333333"/>
          <w:sz w:val="24"/>
          <w:szCs w:val="24"/>
          <w:highlight w:val="white"/>
        </w:rPr>
        <w:t>[…]</w:t>
      </w:r>
    </w:p>
    <w:p w14:paraId="2F93DDC9" w14:textId="77777777" w:rsidR="00B33822" w:rsidRDefault="00072DA4">
      <w:pPr>
        <w:shd w:val="clear" w:color="auto" w:fill="FFFFFF"/>
        <w:spacing w:after="0" w:line="240" w:lineRule="auto"/>
        <w:ind w:left="709"/>
        <w:rPr>
          <w:rFonts w:ascii="Times New Roman" w:eastAsia="Times New Roman" w:hAnsi="Times New Roman" w:cs="Times New Roman"/>
          <w:i/>
          <w:color w:val="333333"/>
          <w:sz w:val="24"/>
          <w:szCs w:val="24"/>
        </w:rPr>
      </w:pPr>
      <w:r>
        <w:rPr>
          <w:rFonts w:ascii="Times New Roman" w:eastAsia="Times New Roman" w:hAnsi="Times New Roman" w:cs="Times New Roman"/>
          <w:b/>
          <w:i/>
          <w:color w:val="333333"/>
          <w:sz w:val="24"/>
          <w:szCs w:val="24"/>
        </w:rPr>
        <w:t>Dimensión Seguridad y Convivencia. </w:t>
      </w:r>
      <w:r>
        <w:rPr>
          <w:rFonts w:ascii="Times New Roman" w:eastAsia="Times New Roman" w:hAnsi="Times New Roman" w:cs="Times New Roman"/>
          <w:i/>
          <w:color w:val="333333"/>
          <w:sz w:val="24"/>
          <w:szCs w:val="24"/>
        </w:rPr>
        <w:t>Propone acciones de Política reflejadas en una Bogotá protectora y segura para adultos/as conviviendo en paz, estrechamente relacionadas con los conceptos de conflictos sociales, condiciones de vida y territorios. Constituye la base de la intervención pública en los derechos de seguridad y educación. Se preocupa por la protección de la vida de adultos/as. Los ejes y las líneas de acción de esta dimensión son:</w:t>
      </w:r>
    </w:p>
    <w:p w14:paraId="56B02276" w14:textId="77777777" w:rsidR="00B33822" w:rsidRDefault="00072DA4">
      <w:pPr>
        <w:shd w:val="clear" w:color="auto" w:fill="FFFFFF"/>
        <w:spacing w:after="0" w:line="240" w:lineRule="auto"/>
        <w:ind w:left="709"/>
        <w:rPr>
          <w:rFonts w:ascii="Times New Roman" w:eastAsia="Times New Roman" w:hAnsi="Times New Roman" w:cs="Times New Roman"/>
          <w:i/>
          <w:color w:val="333333"/>
          <w:sz w:val="24"/>
          <w:szCs w:val="24"/>
        </w:rPr>
      </w:pPr>
      <w:r>
        <w:rPr>
          <w:rFonts w:ascii="Times New Roman" w:eastAsia="Times New Roman" w:hAnsi="Times New Roman" w:cs="Times New Roman"/>
          <w:b/>
          <w:i/>
          <w:color w:val="333333"/>
          <w:sz w:val="24"/>
          <w:szCs w:val="24"/>
        </w:rPr>
        <w:t>Eje 7:</w:t>
      </w:r>
      <w:r>
        <w:rPr>
          <w:rFonts w:ascii="Times New Roman" w:eastAsia="Times New Roman" w:hAnsi="Times New Roman" w:cs="Times New Roman"/>
          <w:i/>
          <w:color w:val="333333"/>
          <w:sz w:val="24"/>
          <w:szCs w:val="24"/>
        </w:rPr>
        <w:t> Bogotá protectora y segura para adultos/as. Este eje contiene las siguientes líneas de acción:</w:t>
      </w:r>
    </w:p>
    <w:p w14:paraId="3E26FCC8" w14:textId="77777777" w:rsidR="00B33822" w:rsidRDefault="00072DA4">
      <w:pPr>
        <w:shd w:val="clear" w:color="auto" w:fill="FFFFFF"/>
        <w:spacing w:after="0" w:line="240" w:lineRule="auto"/>
        <w:ind w:left="0" w:firstLine="709"/>
        <w:rPr>
          <w:rFonts w:ascii="Times New Roman" w:eastAsia="Times New Roman" w:hAnsi="Times New Roman" w:cs="Times New Roman"/>
          <w:i/>
          <w:color w:val="333333"/>
          <w:sz w:val="24"/>
          <w:szCs w:val="24"/>
        </w:rPr>
      </w:pPr>
      <w:r>
        <w:rPr>
          <w:rFonts w:ascii="Times New Roman" w:eastAsia="Times New Roman" w:hAnsi="Times New Roman" w:cs="Times New Roman"/>
          <w:i/>
          <w:color w:val="333333"/>
          <w:sz w:val="24"/>
          <w:szCs w:val="24"/>
        </w:rPr>
        <w:t>* Seguridad frente a la violencia</w:t>
      </w:r>
    </w:p>
    <w:p w14:paraId="78BC5E6B" w14:textId="77777777" w:rsidR="00B33822" w:rsidRDefault="00072DA4">
      <w:pPr>
        <w:shd w:val="clear" w:color="auto" w:fill="FFFFFF"/>
        <w:spacing w:after="0" w:line="240" w:lineRule="auto"/>
        <w:ind w:left="0" w:firstLine="709"/>
        <w:rPr>
          <w:rFonts w:ascii="Times New Roman" w:eastAsia="Times New Roman" w:hAnsi="Times New Roman" w:cs="Times New Roman"/>
          <w:i/>
          <w:color w:val="333333"/>
          <w:sz w:val="24"/>
          <w:szCs w:val="24"/>
        </w:rPr>
      </w:pPr>
      <w:r>
        <w:rPr>
          <w:rFonts w:ascii="Times New Roman" w:eastAsia="Times New Roman" w:hAnsi="Times New Roman" w:cs="Times New Roman"/>
          <w:i/>
          <w:color w:val="333333"/>
          <w:sz w:val="24"/>
          <w:szCs w:val="24"/>
        </w:rPr>
        <w:t>* Atención integral a víctimas del desplazamiento forzado</w:t>
      </w:r>
    </w:p>
    <w:p w14:paraId="6D7F1FEF" w14:textId="77777777" w:rsidR="00B33822" w:rsidRDefault="00072DA4">
      <w:pPr>
        <w:shd w:val="clear" w:color="auto" w:fill="FFFFFF"/>
        <w:spacing w:after="0" w:line="240" w:lineRule="auto"/>
        <w:ind w:left="0" w:firstLine="709"/>
        <w:rPr>
          <w:rFonts w:ascii="Times New Roman" w:eastAsia="Times New Roman" w:hAnsi="Times New Roman" w:cs="Times New Roman"/>
          <w:i/>
          <w:color w:val="333333"/>
          <w:sz w:val="24"/>
          <w:szCs w:val="24"/>
        </w:rPr>
      </w:pPr>
      <w:r>
        <w:rPr>
          <w:rFonts w:ascii="Times New Roman" w:eastAsia="Times New Roman" w:hAnsi="Times New Roman" w:cs="Times New Roman"/>
          <w:b/>
          <w:i/>
          <w:color w:val="333333"/>
          <w:sz w:val="24"/>
          <w:szCs w:val="24"/>
        </w:rPr>
        <w:t>Eje 8:</w:t>
      </w:r>
      <w:r>
        <w:rPr>
          <w:rFonts w:ascii="Times New Roman" w:eastAsia="Times New Roman" w:hAnsi="Times New Roman" w:cs="Times New Roman"/>
          <w:i/>
          <w:color w:val="333333"/>
          <w:sz w:val="24"/>
          <w:szCs w:val="24"/>
        </w:rPr>
        <w:t> Adultos/as conviviendo en paz. Este eje contiene la siguiente línea de acción:</w:t>
      </w:r>
    </w:p>
    <w:p w14:paraId="40F917C6" w14:textId="77777777" w:rsidR="00B33822" w:rsidRDefault="00072DA4">
      <w:pPr>
        <w:shd w:val="clear" w:color="auto" w:fill="FFFFFF"/>
        <w:spacing w:after="0" w:line="240" w:lineRule="auto"/>
        <w:ind w:left="0" w:firstLine="709"/>
        <w:rPr>
          <w:rFonts w:ascii="Times New Roman" w:eastAsia="Times New Roman" w:hAnsi="Times New Roman" w:cs="Times New Roman"/>
          <w:i/>
          <w:color w:val="333333"/>
          <w:sz w:val="24"/>
          <w:szCs w:val="24"/>
        </w:rPr>
      </w:pPr>
      <w:r>
        <w:rPr>
          <w:rFonts w:ascii="Times New Roman" w:eastAsia="Times New Roman" w:hAnsi="Times New Roman" w:cs="Times New Roman"/>
          <w:i/>
          <w:color w:val="333333"/>
          <w:sz w:val="24"/>
          <w:szCs w:val="24"/>
        </w:rPr>
        <w:t>* Espacios de paz, convivencia y concertación</w:t>
      </w:r>
    </w:p>
    <w:p w14:paraId="2F11DBD3" w14:textId="77777777" w:rsidR="00B33822" w:rsidRDefault="00072DA4">
      <w:pPr>
        <w:shd w:val="clear" w:color="auto" w:fill="FFFFFF"/>
        <w:spacing w:after="0" w:line="240" w:lineRule="auto"/>
        <w:ind w:left="0" w:firstLine="709"/>
        <w:rPr>
          <w:rFonts w:ascii="Times New Roman" w:eastAsia="Times New Roman" w:hAnsi="Times New Roman" w:cs="Times New Roman"/>
          <w:i/>
          <w:color w:val="333333"/>
          <w:sz w:val="24"/>
          <w:szCs w:val="24"/>
          <w:highlight w:val="white"/>
        </w:rPr>
      </w:pPr>
      <w:r>
        <w:rPr>
          <w:rFonts w:ascii="Times New Roman" w:eastAsia="Times New Roman" w:hAnsi="Times New Roman" w:cs="Times New Roman"/>
          <w:i/>
          <w:color w:val="333333"/>
          <w:sz w:val="24"/>
          <w:szCs w:val="24"/>
          <w:highlight w:val="white"/>
        </w:rPr>
        <w:t>[…]”</w:t>
      </w:r>
    </w:p>
    <w:p w14:paraId="5B2AFFC6" w14:textId="77777777" w:rsidR="00B33822" w:rsidRDefault="00B33822">
      <w:pPr>
        <w:shd w:val="clear" w:color="auto" w:fill="FFFFFF"/>
        <w:spacing w:after="0" w:line="240" w:lineRule="auto"/>
        <w:ind w:left="0" w:firstLine="709"/>
        <w:rPr>
          <w:rFonts w:ascii="Times New Roman" w:eastAsia="Times New Roman" w:hAnsi="Times New Roman" w:cs="Times New Roman"/>
          <w:i/>
          <w:color w:val="333333"/>
          <w:sz w:val="24"/>
          <w:szCs w:val="24"/>
          <w:highlight w:val="white"/>
        </w:rPr>
      </w:pPr>
    </w:p>
    <w:p w14:paraId="1BA32BC5"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Proyecto de Acuerdo No.  106 de 2014</w:t>
      </w:r>
      <w:r>
        <w:rPr>
          <w:rFonts w:ascii="Times New Roman" w:eastAsia="Times New Roman" w:hAnsi="Times New Roman" w:cs="Times New Roman"/>
          <w:i/>
          <w:sz w:val="24"/>
          <w:szCs w:val="24"/>
        </w:rPr>
        <w:t>. “POR EL CUAL SE CREA EL CONSEJO DISTRITAL DEL ADULTO MAYOR PARA EL SEGUIMIENTO A LA POLÍTICA PÚBLICA SOCIAL DE ENVEJECIMIENTO Y LA VEJEZ Y PROPENDER POR UNA ATENCIÓN INTEGRAL Y SE DICTAN OTRAS DISPOSICIONES”</w:t>
      </w:r>
    </w:p>
    <w:p w14:paraId="5DD2DA10" w14:textId="77777777" w:rsidR="00B33822" w:rsidRDefault="00072DA4">
      <w:pPr>
        <w:shd w:val="clear" w:color="auto" w:fill="FFFFFF"/>
        <w:spacing w:after="0" w:line="240" w:lineRule="auto"/>
        <w:ind w:left="0" w:firstLine="709"/>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7D048C2C" w14:textId="77777777" w:rsidR="00B33822" w:rsidRDefault="00072DA4">
      <w:pPr>
        <w:shd w:val="clear" w:color="auto" w:fill="FFFFFF"/>
        <w:spacing w:after="0" w:line="240" w:lineRule="auto"/>
        <w:ind w:left="0"/>
        <w:rPr>
          <w:rFonts w:ascii="Times New Roman" w:eastAsia="Times New Roman" w:hAnsi="Times New Roman" w:cs="Times New Roman"/>
          <w:i/>
          <w:color w:val="333333"/>
          <w:sz w:val="24"/>
          <w:szCs w:val="24"/>
        </w:rPr>
      </w:pPr>
      <w:r>
        <w:rPr>
          <w:rFonts w:ascii="Times New Roman" w:eastAsia="Times New Roman" w:hAnsi="Times New Roman" w:cs="Times New Roman"/>
          <w:i/>
          <w:color w:val="333333"/>
          <w:sz w:val="24"/>
          <w:szCs w:val="24"/>
        </w:rPr>
        <w:t> </w:t>
      </w:r>
    </w:p>
    <w:p w14:paraId="3282778F" w14:textId="48FC70A6" w:rsidR="00B33822" w:rsidRDefault="00072DA4">
      <w:pPr>
        <w:shd w:val="clear" w:color="auto" w:fill="FFFFFF"/>
        <w:spacing w:after="0" w:line="240" w:lineRule="auto"/>
        <w:ind w:left="0" w:firstLine="709"/>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FACTORES O CARACTERÍSTICAS VIOLENCIA INTRAFAMILIAR</w:t>
      </w:r>
    </w:p>
    <w:p w14:paraId="5231814A"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 </w:t>
      </w:r>
    </w:p>
    <w:p w14:paraId="5039D3A4" w14:textId="77777777" w:rsidR="00B33822" w:rsidRDefault="00072DA4">
      <w:pPr>
        <w:shd w:val="clear" w:color="auto" w:fill="FFFFFF"/>
        <w:spacing w:after="0" w:line="240" w:lineRule="auto"/>
        <w:ind w:left="709"/>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La violencia intrafamiliar  a los que se ven expuestos algunos adultos mayores, se da en principio en zonas de estratos bajos, la violencia intrafamiliar se presenta de manera física, psicológica, social, baja la autoestima de la persona adulta mayor, además porque confluyen diferentes situaciones que hacer que su bienestar sea cada vez más inalcanzable, la violencia se presenta, porque el </w:t>
      </w:r>
      <w:r>
        <w:rPr>
          <w:rFonts w:ascii="Times New Roman" w:eastAsia="Times New Roman" w:hAnsi="Times New Roman" w:cs="Times New Roman"/>
          <w:i/>
          <w:sz w:val="24"/>
          <w:szCs w:val="24"/>
        </w:rPr>
        <w:lastRenderedPageBreak/>
        <w:t>adulto mayor ya no se vale por sí solo en sus necesidades básicas, porque de pronto ya no genera ingresos económicos para el hogar, porque ha perdido la lucidez y la capacidad de aprendizaje lo que lo convierte en una carga para la familia. Frente a este flagelo se encontraron los siguientes datos y que fueron en su momento tenidas en cuenta en la Política Pública para el Envejecimiento y la Vejez en el Distrito Capital (PPESV) 2010 – 2025.</w:t>
      </w:r>
    </w:p>
    <w:p w14:paraId="557919A9"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21DA557E" w14:textId="77777777" w:rsidR="00B33822" w:rsidRDefault="00072DA4">
      <w:pPr>
        <w:shd w:val="clear" w:color="auto" w:fill="FFFFFF"/>
        <w:spacing w:after="0" w:line="240" w:lineRule="auto"/>
        <w:ind w:left="0" w:firstLine="709"/>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500E883B" w14:textId="77777777" w:rsidR="00B33822" w:rsidRDefault="00B33822">
      <w:pPr>
        <w:shd w:val="clear" w:color="auto" w:fill="FFFFFF"/>
        <w:spacing w:after="0" w:line="240" w:lineRule="auto"/>
        <w:ind w:left="0"/>
        <w:rPr>
          <w:rFonts w:ascii="Times New Roman" w:eastAsia="Times New Roman" w:hAnsi="Times New Roman" w:cs="Times New Roman"/>
          <w:i/>
          <w:color w:val="333333"/>
          <w:sz w:val="24"/>
          <w:szCs w:val="24"/>
        </w:rPr>
      </w:pPr>
    </w:p>
    <w:p w14:paraId="588D27E2"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Proyecto de Acuerdo No.  196   DE 2023. “</w:t>
      </w:r>
      <w:r>
        <w:rPr>
          <w:rFonts w:ascii="Times New Roman" w:eastAsia="Times New Roman" w:hAnsi="Times New Roman" w:cs="Times New Roman"/>
          <w:i/>
          <w:sz w:val="24"/>
          <w:szCs w:val="24"/>
        </w:rPr>
        <w:t>Por el cual se crea el Centro de Información y Orientación Especial para Personas con Discapacidad y Personas Mayores en el Distrito Capital, y se dictan otras disposiciones”</w:t>
      </w:r>
    </w:p>
    <w:p w14:paraId="3A3FEAE2" w14:textId="77777777" w:rsidR="00B33822" w:rsidRDefault="00B33822">
      <w:pPr>
        <w:shd w:val="clear" w:color="auto" w:fill="FFFFFF"/>
        <w:spacing w:after="0" w:line="240" w:lineRule="auto"/>
        <w:ind w:left="0"/>
        <w:rPr>
          <w:rFonts w:ascii="Times New Roman" w:eastAsia="Times New Roman" w:hAnsi="Times New Roman" w:cs="Times New Roman"/>
          <w:i/>
          <w:sz w:val="24"/>
          <w:szCs w:val="24"/>
        </w:rPr>
      </w:pPr>
    </w:p>
    <w:p w14:paraId="4122BB84"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ab/>
        <w:t>“[…]</w:t>
      </w:r>
    </w:p>
    <w:p w14:paraId="6C808181" w14:textId="77777777" w:rsidR="00B33822" w:rsidRDefault="00072DA4">
      <w:pPr>
        <w:shd w:val="clear" w:color="auto" w:fill="FFFFF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 </w:t>
      </w:r>
    </w:p>
    <w:p w14:paraId="18F527CE" w14:textId="77777777" w:rsidR="00B33822" w:rsidRDefault="00072DA4">
      <w:pPr>
        <w:shd w:val="clear" w:color="auto" w:fill="FFFFFF"/>
        <w:spacing w:after="0" w:line="240" w:lineRule="auto"/>
        <w:ind w:left="0" w:firstLine="709"/>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I. OBJETIVO DEL PROYECTO</w:t>
      </w:r>
    </w:p>
    <w:p w14:paraId="1004B992" w14:textId="77777777" w:rsidR="00B33822" w:rsidRDefault="00072DA4">
      <w:pPr>
        <w:shd w:val="clear" w:color="auto" w:fill="FFFFFF"/>
        <w:spacing w:after="0" w:line="240" w:lineRule="auto"/>
        <w:ind w:left="709"/>
        <w:rPr>
          <w:rFonts w:ascii="Times New Roman" w:eastAsia="Times New Roman" w:hAnsi="Times New Roman" w:cs="Times New Roman"/>
          <w:i/>
          <w:sz w:val="24"/>
          <w:szCs w:val="24"/>
        </w:rPr>
      </w:pPr>
      <w:r>
        <w:rPr>
          <w:rFonts w:ascii="Times New Roman" w:eastAsia="Times New Roman" w:hAnsi="Times New Roman" w:cs="Times New Roman"/>
          <w:i/>
          <w:sz w:val="24"/>
          <w:szCs w:val="24"/>
        </w:rPr>
        <w:t>El presente proyecto de Acuerdo tiene como objetivo la creación y puesta en marcha de un Centro de Información y Orientación Especial que garantice a las Personas con Discapacidad y Personas Mayores residentes en Bogotá, el conocimiento y desarrollo pleno de sus derechos, acorde con la competencia de cada una de las entidades del Distrito Capital. Esto con el fin de reducir la exclusión.</w:t>
      </w:r>
    </w:p>
    <w:p w14:paraId="204FBE34" w14:textId="77777777" w:rsidR="00B33822" w:rsidRDefault="00B33822">
      <w:pPr>
        <w:shd w:val="clear" w:color="auto" w:fill="FFFFFF"/>
        <w:spacing w:after="0" w:line="240" w:lineRule="auto"/>
        <w:ind w:left="709"/>
        <w:rPr>
          <w:rFonts w:ascii="Times New Roman" w:eastAsia="Times New Roman" w:hAnsi="Times New Roman" w:cs="Times New Roman"/>
          <w:i/>
          <w:sz w:val="24"/>
          <w:szCs w:val="24"/>
        </w:rPr>
      </w:pPr>
    </w:p>
    <w:p w14:paraId="2E409228" w14:textId="77777777" w:rsidR="00B33822" w:rsidRDefault="00072DA4">
      <w:pPr>
        <w:shd w:val="clear" w:color="auto" w:fill="FFFFFF"/>
        <w:spacing w:after="0" w:line="240" w:lineRule="auto"/>
        <w:ind w:left="709"/>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22F3FC90"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14:paraId="052CE6D3" w14:textId="77777777" w:rsidR="00B33822" w:rsidRDefault="00072DA4">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COMPETENCIA DEL CONCEJO DE BOGOTÁ. </w:t>
      </w:r>
    </w:p>
    <w:p w14:paraId="269FDD35" w14:textId="77777777" w:rsidR="00B33822" w:rsidRDefault="00B33822">
      <w:pPr>
        <w:spacing w:after="0" w:line="240" w:lineRule="auto"/>
        <w:ind w:left="0"/>
        <w:rPr>
          <w:rFonts w:ascii="Times New Roman" w:eastAsia="Times New Roman" w:hAnsi="Times New Roman" w:cs="Times New Roman"/>
          <w:sz w:val="24"/>
          <w:szCs w:val="24"/>
        </w:rPr>
      </w:pPr>
    </w:p>
    <w:p w14:paraId="5DF608B4"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Concejo de Bogotá D.C. tiene la competencia para dictar normas relacionadas con la naturaleza y el alcance del presente Proyecto de Acuerdo,</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según las disposiciones constitucionales y legales vigentes. En primer lugar, el artículo 313 de la Constitución Política de Colombia establece que:</w:t>
      </w:r>
    </w:p>
    <w:p w14:paraId="42B8C20C" w14:textId="77777777" w:rsidR="00B33822" w:rsidRDefault="00B33822">
      <w:pPr>
        <w:spacing w:after="0" w:line="240" w:lineRule="auto"/>
        <w:ind w:left="720"/>
        <w:rPr>
          <w:rFonts w:ascii="Times New Roman" w:eastAsia="Times New Roman" w:hAnsi="Times New Roman" w:cs="Times New Roman"/>
          <w:sz w:val="24"/>
          <w:szCs w:val="24"/>
        </w:rPr>
      </w:pPr>
    </w:p>
    <w:p w14:paraId="44F92C56" w14:textId="77777777" w:rsidR="00B33822" w:rsidRDefault="00072DA4">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313. Corresponde a los Concejos:</w:t>
      </w:r>
    </w:p>
    <w:p w14:paraId="2626C140" w14:textId="77777777" w:rsidR="00B33822" w:rsidRDefault="00B33822">
      <w:pPr>
        <w:spacing w:after="0" w:line="240" w:lineRule="auto"/>
        <w:ind w:left="720"/>
        <w:rPr>
          <w:rFonts w:ascii="Times New Roman" w:eastAsia="Times New Roman" w:hAnsi="Times New Roman" w:cs="Times New Roman"/>
          <w:i/>
          <w:sz w:val="24"/>
          <w:szCs w:val="24"/>
        </w:rPr>
      </w:pPr>
    </w:p>
    <w:p w14:paraId="37D07E34" w14:textId="77777777" w:rsidR="00B33822" w:rsidRDefault="00072DA4">
      <w:pPr>
        <w:numPr>
          <w:ilvl w:val="0"/>
          <w:numId w:val="14"/>
        </w:num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Reglamentar las funciones y la eficiente prestación de los servicios a cargo del municipio.</w:t>
      </w:r>
    </w:p>
    <w:p w14:paraId="54867572" w14:textId="77777777" w:rsidR="00B33822" w:rsidRDefault="00072DA4">
      <w:pPr>
        <w:spacing w:after="0" w:line="240" w:lineRule="auto"/>
        <w:ind w:left="144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4554671D" w14:textId="77777777" w:rsidR="00B33822" w:rsidRDefault="00B33822">
      <w:pPr>
        <w:spacing w:after="0" w:line="240" w:lineRule="auto"/>
        <w:ind w:left="720"/>
        <w:rPr>
          <w:rFonts w:ascii="Times New Roman" w:eastAsia="Times New Roman" w:hAnsi="Times New Roman" w:cs="Times New Roman"/>
          <w:sz w:val="24"/>
          <w:szCs w:val="24"/>
        </w:rPr>
      </w:pPr>
    </w:p>
    <w:p w14:paraId="52048F10"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segundo lugar, el artículo 12 del Decreto Ley 1421 de 1993 - Estatuto Orgánico de Bogotá - estipula que:</w:t>
      </w:r>
    </w:p>
    <w:p w14:paraId="13F13640" w14:textId="77777777" w:rsidR="00B33822" w:rsidRDefault="00B33822">
      <w:pPr>
        <w:spacing w:after="0" w:line="240" w:lineRule="auto"/>
        <w:ind w:left="720"/>
        <w:rPr>
          <w:rFonts w:ascii="Times New Roman" w:eastAsia="Times New Roman" w:hAnsi="Times New Roman" w:cs="Times New Roman"/>
          <w:sz w:val="24"/>
          <w:szCs w:val="24"/>
        </w:rPr>
      </w:pPr>
    </w:p>
    <w:p w14:paraId="27BAFC22" w14:textId="77777777" w:rsidR="00B33822" w:rsidRDefault="00072DA4">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ARTÍCULO 12. Atribuciones. Corresponde al Concejo Distrital, de conformidad con la Constitución y a la ley:</w:t>
      </w:r>
    </w:p>
    <w:p w14:paraId="4B6777BF" w14:textId="77777777" w:rsidR="00B33822" w:rsidRDefault="00B33822">
      <w:pPr>
        <w:spacing w:after="0" w:line="240" w:lineRule="auto"/>
        <w:ind w:left="720"/>
        <w:rPr>
          <w:rFonts w:ascii="Times New Roman" w:eastAsia="Times New Roman" w:hAnsi="Times New Roman" w:cs="Times New Roman"/>
          <w:i/>
          <w:sz w:val="24"/>
          <w:szCs w:val="24"/>
        </w:rPr>
      </w:pPr>
    </w:p>
    <w:p w14:paraId="5B69BA98" w14:textId="77777777" w:rsidR="00B33822" w:rsidRDefault="00072DA4">
      <w:pPr>
        <w:numPr>
          <w:ilvl w:val="0"/>
          <w:numId w:val="5"/>
        </w:num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Dictar las normas necesarias para garantizar el adecuado cumplimiento de las funciones y la eficiente prestación de los servicios a cargo del Distrito.</w:t>
      </w:r>
    </w:p>
    <w:p w14:paraId="02283BC1" w14:textId="77777777" w:rsidR="00B33822" w:rsidRDefault="00072DA4">
      <w:pPr>
        <w:spacing w:after="0" w:line="240" w:lineRule="auto"/>
        <w:ind w:left="1440"/>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p>
    <w:p w14:paraId="3ED932C8" w14:textId="77777777" w:rsidR="00A817D5" w:rsidRDefault="00A817D5" w:rsidP="00A817D5">
      <w:pPr>
        <w:spacing w:after="0" w:line="240" w:lineRule="auto"/>
        <w:rPr>
          <w:rFonts w:ascii="Times New Roman" w:eastAsia="Times New Roman" w:hAnsi="Times New Roman" w:cs="Times New Roman"/>
          <w:b/>
          <w:i/>
          <w:sz w:val="24"/>
          <w:szCs w:val="24"/>
        </w:rPr>
      </w:pPr>
    </w:p>
    <w:p w14:paraId="102FB1F9"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6. IMPACTO FISCAL.</w:t>
      </w:r>
    </w:p>
    <w:p w14:paraId="10CB616C"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6565160B"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 conformidad con el Artículo 7° de la Ley 819 de 2003, el análisis del impacto fiscal en cualquier proyecto de acuerdo que ordene gasto o que otorgue beneficios tributarios debe hacerse explícito y ser compatible con el marco fiscal de mediano plazo, asimismo deberá estar incluido de manera expresa en la exposición de motivos y en las ponencias de trámite.</w:t>
      </w:r>
    </w:p>
    <w:p w14:paraId="720B8B78" w14:textId="77777777" w:rsidR="00B33822" w:rsidRDefault="00B33822">
      <w:pPr>
        <w:spacing w:after="0" w:line="240" w:lineRule="auto"/>
        <w:ind w:left="0"/>
        <w:rPr>
          <w:rFonts w:ascii="Times New Roman" w:eastAsia="Times New Roman" w:hAnsi="Times New Roman" w:cs="Times New Roman"/>
          <w:sz w:val="24"/>
          <w:szCs w:val="24"/>
        </w:rPr>
      </w:pPr>
    </w:p>
    <w:p w14:paraId="3FF274E1"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La presente iniciativa no genera impacto fiscal que implique una modificación en el marco fiscal de mediano plazo, pues no se incrementará el presupuesto del Distrito ni generará una nueva fuente de financiación.</w:t>
      </w:r>
    </w:p>
    <w:p w14:paraId="537A9FFF" w14:textId="77777777" w:rsidR="00B33822" w:rsidRDefault="00B33822">
      <w:pPr>
        <w:spacing w:after="0" w:line="240" w:lineRule="auto"/>
        <w:ind w:left="0"/>
        <w:rPr>
          <w:rFonts w:ascii="Times New Roman" w:eastAsia="Times New Roman" w:hAnsi="Times New Roman" w:cs="Times New Roman"/>
          <w:sz w:val="24"/>
          <w:szCs w:val="24"/>
        </w:rPr>
      </w:pPr>
    </w:p>
    <w:p w14:paraId="2258E5AF"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No obstante lo anterior, la Corte Constitucional en Sentencia C-911 de 2007 puntualizó que el impacto fiscal de las normas no puede convertirse en óbice para que las corporaciones públicas ejerzan su función legislativa y normativa.</w:t>
      </w:r>
    </w:p>
    <w:p w14:paraId="47704191"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38902D18"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Los ponentes consideran pertinente que sea la Administración Distrital quien se pronuncie de fondo sobre la viabilidad presupuestal de la iniciativa.</w:t>
      </w:r>
    </w:p>
    <w:p w14:paraId="4EDB79F7" w14:textId="77777777" w:rsidR="00B33822" w:rsidRDefault="00B33822">
      <w:pPr>
        <w:spacing w:after="0" w:line="240" w:lineRule="auto"/>
        <w:ind w:left="1416"/>
        <w:rPr>
          <w:rFonts w:ascii="Times New Roman" w:eastAsia="Times New Roman" w:hAnsi="Times New Roman" w:cs="Times New Roman"/>
          <w:sz w:val="24"/>
          <w:szCs w:val="24"/>
        </w:rPr>
      </w:pPr>
    </w:p>
    <w:p w14:paraId="54E2D737"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7. </w:t>
      </w:r>
      <w:r>
        <w:rPr>
          <w:rFonts w:ascii="Times New Roman" w:eastAsia="Times New Roman" w:hAnsi="Times New Roman" w:cs="Times New Roman"/>
          <w:b/>
          <w:color w:val="000000"/>
          <w:sz w:val="24"/>
          <w:szCs w:val="24"/>
        </w:rPr>
        <w:t>CONSIDERACIONES</w:t>
      </w:r>
      <w:r>
        <w:rPr>
          <w:rFonts w:ascii="Times New Roman" w:eastAsia="Times New Roman" w:hAnsi="Times New Roman" w:cs="Times New Roman"/>
          <w:b/>
          <w:sz w:val="24"/>
          <w:szCs w:val="24"/>
        </w:rPr>
        <w:t xml:space="preserve"> DE LOS PONENTES</w:t>
      </w:r>
    </w:p>
    <w:p w14:paraId="1D6734B2"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1B5D50BB"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comentarios de la Administración al Proyecto de Acuerdo 117 de 2021, </w:t>
      </w:r>
      <w:r>
        <w:rPr>
          <w:rFonts w:ascii="Times New Roman" w:eastAsia="Times New Roman" w:hAnsi="Times New Roman" w:cs="Times New Roman"/>
          <w:i/>
          <w:sz w:val="24"/>
          <w:szCs w:val="24"/>
        </w:rPr>
        <w:t>“Por medio del cual se crea la línea telefónica “Línea Dorada” para la atención exclusiva e intersectorial a las personas mayores en el Distrito Capital  y se dictan otras disposiciones”</w:t>
      </w:r>
      <w:r>
        <w:rPr>
          <w:rFonts w:ascii="Times New Roman" w:eastAsia="Times New Roman" w:hAnsi="Times New Roman" w:cs="Times New Roman"/>
          <w:sz w:val="24"/>
          <w:szCs w:val="24"/>
        </w:rPr>
        <w:t xml:space="preserve">, se señala que la Secretaría Distrital de Salud amplió la población objeto de sus servicios prestados en la </w:t>
      </w:r>
      <w:r>
        <w:rPr>
          <w:rFonts w:ascii="Times New Roman" w:eastAsia="Times New Roman" w:hAnsi="Times New Roman" w:cs="Times New Roman"/>
          <w:b/>
          <w:sz w:val="24"/>
          <w:szCs w:val="24"/>
        </w:rPr>
        <w:t>Línea 106</w:t>
      </w:r>
      <w:r>
        <w:rPr>
          <w:rFonts w:ascii="Times New Roman" w:eastAsia="Times New Roman" w:hAnsi="Times New Roman" w:cs="Times New Roman"/>
          <w:sz w:val="24"/>
          <w:szCs w:val="24"/>
        </w:rPr>
        <w:t>, que brinda intervención psicosocial y/o soporte en situaciones de crisis. Esta línea es atendida por profesionales en Psicología que brindan espacios de escucha, orientación y apoyo emocional a la ciudadanía en cualquier edad, incluidas las personas mayores. Funciona 24 horas al día los 7 días de la semana. También cuenta con el chat de Whatsapp 3007548933, Facebook (línea 106) y correo electrónico (linea106@saludcapital.gov.co)</w:t>
      </w:r>
      <w:r>
        <w:rPr>
          <w:rFonts w:ascii="Times New Roman" w:eastAsia="Times New Roman" w:hAnsi="Times New Roman" w:cs="Times New Roman"/>
          <w:sz w:val="24"/>
          <w:szCs w:val="24"/>
          <w:vertAlign w:val="superscript"/>
        </w:rPr>
        <w:footnoteReference w:id="12"/>
      </w:r>
      <w:r>
        <w:rPr>
          <w:rFonts w:ascii="Times New Roman" w:eastAsia="Times New Roman" w:hAnsi="Times New Roman" w:cs="Times New Roman"/>
          <w:sz w:val="24"/>
          <w:szCs w:val="24"/>
        </w:rPr>
        <w:t xml:space="preserve">. </w:t>
      </w:r>
    </w:p>
    <w:p w14:paraId="65EED505"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166F1EC6"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Dentro de este servicio, en los casos que se requiere, se activan rutas de atención sectorial (acceso a servicios de salud del Plan de Beneficios de Salud a cargo de las Entidades Administradoras de Planes de Beneficios de Salud E.A.P.B. (que en su mayoría corresponden a Capital Salud); de igual forma se hacen canalizaciones a estrategias del </w:t>
      </w:r>
      <w:r>
        <w:rPr>
          <w:rFonts w:ascii="Times New Roman" w:eastAsia="Times New Roman" w:hAnsi="Times New Roman" w:cs="Times New Roman"/>
          <w:sz w:val="24"/>
          <w:szCs w:val="24"/>
        </w:rPr>
        <w:lastRenderedPageBreak/>
        <w:t xml:space="preserve">Plan de Salud Pública de Intervenciones Colectivas -PSPIC-; a los Subsistemas de Vigilancia Epidemiológica de la Conducta Suicida - SISVECOS-, Violencia Intrafamiliar y Sexual -SIVIM-; también se brinda orientación, atención y canalización intersectorial (Instituto Colombiano de Bienestar Familiar -ICBF-, Secretaría Distrital de Integración Social, y Justicia, entre otros). </w:t>
      </w:r>
    </w:p>
    <w:p w14:paraId="3FFC525E"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4DF0C214"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ciudadanía también puede obtener información acerca de los trámites, servicios, campañas y eventos que prestan las Entidades Distritales y Nacionales con presencia en la Red CADE, a través del teléfono fijo, celular, chat y correo electrónico las 24 horas del día de domingo a domingo, por medio de la </w:t>
      </w:r>
      <w:r>
        <w:rPr>
          <w:rFonts w:ascii="Times New Roman" w:eastAsia="Times New Roman" w:hAnsi="Times New Roman" w:cs="Times New Roman"/>
          <w:b/>
          <w:sz w:val="24"/>
          <w:szCs w:val="24"/>
        </w:rPr>
        <w:t>Línea 195</w:t>
      </w:r>
      <w:r>
        <w:rPr>
          <w:rFonts w:ascii="Times New Roman" w:eastAsia="Times New Roman" w:hAnsi="Times New Roman" w:cs="Times New Roman"/>
          <w:sz w:val="24"/>
          <w:szCs w:val="24"/>
        </w:rPr>
        <w:t>. A través de este medio, se puede obtener información sobre servicios que presta cada entidad, trámites, requisitos para adelantar los trámites, así como los costos y tiempo estimado de respuesta. Pueden hacer peticiones y requerimientos en caso de no estar conformes con el servicio prestado por cada una de las entidades.</w:t>
      </w:r>
    </w:p>
    <w:p w14:paraId="2852629E"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7B9E09B5"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Adicionalmente, existe la </w:t>
      </w:r>
      <w:r>
        <w:rPr>
          <w:rFonts w:ascii="Times New Roman" w:eastAsia="Times New Roman" w:hAnsi="Times New Roman" w:cs="Times New Roman"/>
          <w:b/>
          <w:sz w:val="24"/>
          <w:szCs w:val="24"/>
        </w:rPr>
        <w:t>Línea Púrpura Distrital - Mujeres que escuchan Mujeres</w:t>
      </w:r>
      <w:r>
        <w:rPr>
          <w:rFonts w:ascii="Times New Roman" w:eastAsia="Times New Roman" w:hAnsi="Times New Roman" w:cs="Times New Roman"/>
          <w:sz w:val="24"/>
          <w:szCs w:val="24"/>
        </w:rPr>
        <w:t>, estrategia desarrollada entre la Secretaría Distrital de Salud y Secretaría Distrital de la Mujer. Es atendida por profesionales de Psicología, Trabajo Social, Enfermería y Derecho, quienes realizan acciones de orientación, información, atención, intervención en crisis, acompañamiento y seguimiento a mujeres mayores de 18 años de la ciudad. Esta línea es de carácter gratuito y funciona los 7 días de la semana, las 24 horas. Desde un celular se debe marcar el número 018000112137 y a través de Whatsapp al 3007551846. También las ciudadanas pueden escribir al correo lpurpura@sdmujer.gov.co.</w:t>
      </w:r>
    </w:p>
    <w:p w14:paraId="78E75B70"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5EABCD19"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Teniendo en cuenta lo expuesto, </w:t>
      </w:r>
      <w:r>
        <w:rPr>
          <w:rFonts w:ascii="Times New Roman" w:eastAsia="Times New Roman" w:hAnsi="Times New Roman" w:cs="Times New Roman"/>
          <w:b/>
          <w:sz w:val="24"/>
          <w:szCs w:val="24"/>
        </w:rPr>
        <w:t>las líneas telefónicas que actualmente funcionan al interior de la Secretaría Distrital de Salud, cuentan con un proceso de articulación que contribuyen a varios aspectos de salud que van desde la orientación, información y canalización a servicios de salud, sociales y de justicia en beneficio de las poblaciones que se encuentran en proceso de envejecimiento, como de las personas mayores del Distrito.</w:t>
      </w:r>
    </w:p>
    <w:p w14:paraId="7FE82A32"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08A7B282"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Ahora bien, en el Distrito también se cuenta con la </w:t>
      </w:r>
      <w:r>
        <w:rPr>
          <w:rFonts w:ascii="Times New Roman" w:eastAsia="Times New Roman" w:hAnsi="Times New Roman" w:cs="Times New Roman"/>
          <w:b/>
          <w:sz w:val="24"/>
          <w:szCs w:val="24"/>
        </w:rPr>
        <w:t>Línea 123</w:t>
      </w:r>
      <w:r>
        <w:rPr>
          <w:rFonts w:ascii="Times New Roman" w:eastAsia="Times New Roman" w:hAnsi="Times New Roman" w:cs="Times New Roman"/>
          <w:sz w:val="24"/>
          <w:szCs w:val="24"/>
        </w:rPr>
        <w:t>, que es operada y coordinada por la Secretaría Distrital de Seguridad, Convivencia y Justicia, y está ubicada en el Centro de Comando, Control, Comunicaciones y Cómputo (C4 Bogotá). La línea integra a las siguientes agencias</w:t>
      </w:r>
      <w:r>
        <w:rPr>
          <w:rFonts w:ascii="Times New Roman" w:eastAsia="Times New Roman" w:hAnsi="Times New Roman" w:cs="Times New Roman"/>
          <w:sz w:val="24"/>
          <w:szCs w:val="24"/>
          <w:vertAlign w:val="superscript"/>
        </w:rPr>
        <w:footnoteReference w:id="13"/>
      </w:r>
      <w:r>
        <w:rPr>
          <w:rFonts w:ascii="Times New Roman" w:eastAsia="Times New Roman" w:hAnsi="Times New Roman" w:cs="Times New Roman"/>
          <w:sz w:val="24"/>
          <w:szCs w:val="24"/>
        </w:rPr>
        <w:t>:</w:t>
      </w:r>
    </w:p>
    <w:p w14:paraId="2477DFBF"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25CF76E8" w14:textId="77777777" w:rsidR="00B33822" w:rsidRDefault="00072DA4">
      <w:pPr>
        <w:numPr>
          <w:ilvl w:val="0"/>
          <w:numId w:val="6"/>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Policía Metropolitana de Bogotá</w:t>
      </w:r>
    </w:p>
    <w:p w14:paraId="231177ED" w14:textId="77777777" w:rsidR="00B33822" w:rsidRDefault="00072DA4">
      <w:pPr>
        <w:numPr>
          <w:ilvl w:val="0"/>
          <w:numId w:val="6"/>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Centro Regulador de Urgencias y Emergencias (CRUE) de la Secretaría Distrital de Salud</w:t>
      </w:r>
    </w:p>
    <w:p w14:paraId="70328A2C" w14:textId="77777777" w:rsidR="00B33822" w:rsidRDefault="00072DA4">
      <w:pPr>
        <w:numPr>
          <w:ilvl w:val="0"/>
          <w:numId w:val="6"/>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 Secretaría de Movilidad</w:t>
      </w:r>
    </w:p>
    <w:p w14:paraId="5DEBBA56" w14:textId="77777777" w:rsidR="00B33822" w:rsidRDefault="00072DA4">
      <w:pPr>
        <w:numPr>
          <w:ilvl w:val="0"/>
          <w:numId w:val="6"/>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Instituto Distrital de Gestión de Riesgos y Cambio Climático (IDIGER)</w:t>
      </w:r>
    </w:p>
    <w:p w14:paraId="375854ED" w14:textId="77777777" w:rsidR="00B33822" w:rsidRDefault="00072DA4">
      <w:pPr>
        <w:numPr>
          <w:ilvl w:val="0"/>
          <w:numId w:val="6"/>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Cuerpo Oficial de Bomberos</w:t>
      </w:r>
    </w:p>
    <w:p w14:paraId="52BEE036" w14:textId="77777777" w:rsidR="00B33822" w:rsidRDefault="00072DA4">
      <w:pPr>
        <w:numPr>
          <w:ilvl w:val="0"/>
          <w:numId w:val="6"/>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Secretaría de la Mujer</w:t>
      </w:r>
    </w:p>
    <w:p w14:paraId="7FAC68D5" w14:textId="77777777" w:rsidR="00B33822" w:rsidRDefault="00072DA4">
      <w:pPr>
        <w:numPr>
          <w:ilvl w:val="0"/>
          <w:numId w:val="6"/>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Instituto Distrital de Protección y Bienestar Animal - IDPYBA.</w:t>
      </w:r>
    </w:p>
    <w:p w14:paraId="143E9ED4"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415FF0A0"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 línea atiende las llamadas de los ciudadanos que reportan todo tipo de incidentes durante los 7 días de la semana, las 24 horas del día y los 365 días del año. Cuenta con más de 380 personas encargadas de dar recepción, trámite y seguimiento de acuerdo a la tipificación de cada llamada.</w:t>
      </w:r>
    </w:p>
    <w:p w14:paraId="189EFA27"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25EF5D59"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qué caso se debe llamar a la Línea 123? Cuando una persona sea víctima o testigo de un siniestro vial con o sin heridos, un hurto, un incendio, una riña, un deslizamiento de tierra o inundación, si una mujer está en peligro por acoso o violencias, un animal maltratado o en condición de abandono, entre otros. Mientras que no se debe llamar a esta línea si NO se va a reportar un hecho de inseguridad o emergencia.</w:t>
      </w:r>
    </w:p>
    <w:p w14:paraId="6ADCD521"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34E93CDD"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ese sentido, a pesar de que el Distrito cuenta con varias líneas telefónicas a las cuales pueden acceder las personas mayores según sus diferentes necesidades, es conveniente contar con un fortalecimiento de la atención y prevención de casos de violencia y abandono, teniendo en cuenta el aumento de estos casos como bien lo expone el autor, el progresivo envejecimiento de la población en el país y en la capital, así como el deber del Estado de velar por la garantía de los derechos de las personas mayores.</w:t>
      </w:r>
    </w:p>
    <w:p w14:paraId="72D0B715" w14:textId="77777777" w:rsidR="00B33822" w:rsidRDefault="00B33822">
      <w:pPr>
        <w:spacing w:after="0" w:line="240" w:lineRule="auto"/>
        <w:ind w:left="0"/>
        <w:rPr>
          <w:rFonts w:ascii="Times New Roman" w:eastAsia="Times New Roman" w:hAnsi="Times New Roman" w:cs="Times New Roman"/>
          <w:sz w:val="24"/>
          <w:szCs w:val="24"/>
        </w:rPr>
      </w:pPr>
    </w:p>
    <w:p w14:paraId="4C0CA7CD"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Como está explícito en el marco normativo, existe una corresponsabilidad del Estado, la sociedad y la familia para la protección de las personas mayores. En ese sentido, es fundamental generar mayor conciencia social y reprochar el maltrato y abandono hacia esta población. Precisamente el Ministerio de Justicia y del Derecho indica lo que un ciudadano debe hacer si conoce un caso de maltrato de una persona mayor por descuido, negligencia o abandono, afectando necesidades básicas como la higiene, el vestuario, la alimentación y la salud, recalcando que es un delito que tiene pena de prisión de cuatro (4) a ocho (8) años y multa de 1 a 5 salarios mínimos legales mensuales vigentes</w:t>
      </w:r>
      <w:r>
        <w:rPr>
          <w:rFonts w:ascii="Times New Roman" w:eastAsia="Times New Roman" w:hAnsi="Times New Roman" w:cs="Times New Roman"/>
          <w:sz w:val="24"/>
          <w:szCs w:val="24"/>
          <w:vertAlign w:val="superscript"/>
        </w:rPr>
        <w:footnoteReference w:id="14"/>
      </w:r>
      <w:r>
        <w:rPr>
          <w:rFonts w:ascii="Times New Roman" w:eastAsia="Times New Roman" w:hAnsi="Times New Roman" w:cs="Times New Roman"/>
          <w:sz w:val="24"/>
          <w:szCs w:val="24"/>
        </w:rPr>
        <w:t>.</w:t>
      </w:r>
    </w:p>
    <w:p w14:paraId="1C8E3107" w14:textId="77777777" w:rsidR="00B33822" w:rsidRDefault="00B33822">
      <w:pPr>
        <w:spacing w:after="0" w:line="240" w:lineRule="auto"/>
        <w:ind w:left="0"/>
        <w:rPr>
          <w:rFonts w:ascii="Times New Roman" w:eastAsia="Times New Roman" w:hAnsi="Times New Roman" w:cs="Times New Roman"/>
          <w:sz w:val="24"/>
          <w:szCs w:val="24"/>
        </w:rPr>
      </w:pPr>
    </w:p>
    <w:p w14:paraId="15FB8CF2"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Si una persona es víctima o conoce un caso de maltrato o abandono de una persona mayor debe presentar denuncia ante la Fiscalía General de la Nación, de forma verbal o escrita narrando de forma clara y breve los hechos. En caso de no poder acudir directamente a la Fiscalía, el ciudadano puede dirigirse al cuadrante de la Policía Nacional del barrio en donde vive, quien puede orientar sobre los pasos a seguir. También puede llamar a la línea 123 para activar los protocolos necesarios.</w:t>
      </w:r>
    </w:p>
    <w:p w14:paraId="6E5AEA9D" w14:textId="77777777" w:rsidR="00B33822" w:rsidRDefault="00B33822">
      <w:pPr>
        <w:spacing w:after="0" w:line="240" w:lineRule="auto"/>
        <w:ind w:left="0"/>
        <w:rPr>
          <w:rFonts w:ascii="Times New Roman" w:eastAsia="Times New Roman" w:hAnsi="Times New Roman" w:cs="Times New Roman"/>
          <w:sz w:val="24"/>
          <w:szCs w:val="24"/>
        </w:rPr>
      </w:pPr>
    </w:p>
    <w:p w14:paraId="30E78CE9"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Una vez interpuesta la denuncia, indica el Ministerio de Justicia, se iniciarán las investigaciones correspondientes para, si es procedente, iniciar el proceso penal e imponer las sanciones a que haya lugar. Con relación a la protección de la persona mayor, en caso de la ausencia de una familia o ante la imposibilidad comprobada de los miembros </w:t>
      </w:r>
      <w:r>
        <w:rPr>
          <w:rFonts w:ascii="Times New Roman" w:eastAsia="Times New Roman" w:hAnsi="Times New Roman" w:cs="Times New Roman"/>
          <w:sz w:val="24"/>
          <w:szCs w:val="24"/>
        </w:rPr>
        <w:lastRenderedPageBreak/>
        <w:t>de la familia para brindar la protección esperada, el Estado es quien debe asumir esta obligación, por medio de programas que otorguen cuidado o subsidio.</w:t>
      </w:r>
    </w:p>
    <w:p w14:paraId="3E15947F" w14:textId="77777777" w:rsidR="00B33822" w:rsidRDefault="00B33822">
      <w:pPr>
        <w:spacing w:after="0" w:line="240" w:lineRule="auto"/>
        <w:ind w:left="0"/>
        <w:rPr>
          <w:rFonts w:ascii="Times New Roman" w:eastAsia="Times New Roman" w:hAnsi="Times New Roman" w:cs="Times New Roman"/>
          <w:sz w:val="24"/>
          <w:szCs w:val="24"/>
        </w:rPr>
      </w:pPr>
    </w:p>
    <w:p w14:paraId="5CEE9B69"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 así que ante la existencia de múltiples entidades para abordar los casos de maltrato o abandono hacia la población mayor o para denunciarlos, resulta conveniente una línea que oriente no sólo a la población mayor que sea víctima de estos hechos, sino también a las familias y a la ciudadanía en general para prevenir y atender oportunamente estos fenómenos y problemas sociales, con el firme propósito de garantizar una mejor calidad de vida, especialmente a las personas mayores que están en mayor condición de vulnerabilidad.</w:t>
      </w:r>
    </w:p>
    <w:p w14:paraId="48CCEBBA"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87C1D94"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Finalmente, el Acuerdo 927 de 2024, </w:t>
      </w:r>
      <w:r>
        <w:rPr>
          <w:rFonts w:ascii="Times New Roman" w:eastAsia="Times New Roman" w:hAnsi="Times New Roman" w:cs="Times New Roman"/>
          <w:i/>
          <w:sz w:val="24"/>
          <w:szCs w:val="24"/>
        </w:rPr>
        <w:t xml:space="preserve">Por medio del cual se adopta el Plan de Desarrollo Económico, Social, Ambiental y de Obras Públicas del Distrito Capital 2024-2027 “Bogotá Camina Segura” </w:t>
      </w:r>
      <w:r>
        <w:rPr>
          <w:rFonts w:ascii="Times New Roman" w:eastAsia="Times New Roman" w:hAnsi="Times New Roman" w:cs="Times New Roman"/>
          <w:sz w:val="24"/>
          <w:szCs w:val="24"/>
        </w:rPr>
        <w:t>estipula el Programa 12. Bogotá Cuida a su gente, el cual busca que los diferentes grupos poblacionales y diferenciales accedan efectivamente a los servicios sociales. Particularmente para las personas mayores, se propone el diseño de una política pública que tenga en cuenta el concepto de ‘nueva longevidad’, que logre abordar los fenómenos de aislamiento, soledad, abandono y exclusión social y productiva que enfrenta esta población.</w:t>
      </w:r>
    </w:p>
    <w:p w14:paraId="099AC6D9"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sz w:val="24"/>
          <w:szCs w:val="24"/>
        </w:rPr>
      </w:pPr>
    </w:p>
    <w:p w14:paraId="11CB3B84"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8. </w:t>
      </w:r>
      <w:r>
        <w:rPr>
          <w:rFonts w:ascii="Times New Roman" w:eastAsia="Times New Roman" w:hAnsi="Times New Roman" w:cs="Times New Roman"/>
          <w:b/>
          <w:color w:val="000000"/>
          <w:sz w:val="24"/>
          <w:szCs w:val="24"/>
        </w:rPr>
        <w:t>CONCLUSI</w:t>
      </w:r>
      <w:r>
        <w:rPr>
          <w:rFonts w:ascii="Times New Roman" w:eastAsia="Times New Roman" w:hAnsi="Times New Roman" w:cs="Times New Roman"/>
          <w:b/>
          <w:sz w:val="24"/>
          <w:szCs w:val="24"/>
        </w:rPr>
        <w:t>ÓN</w:t>
      </w:r>
    </w:p>
    <w:p w14:paraId="3CB6F1C6" w14:textId="77777777" w:rsidR="00B33822" w:rsidRDefault="00B33822">
      <w:pPr>
        <w:pBdr>
          <w:top w:val="nil"/>
          <w:left w:val="nil"/>
          <w:bottom w:val="nil"/>
          <w:right w:val="nil"/>
          <w:between w:val="nil"/>
        </w:pBdr>
        <w:spacing w:after="0" w:line="240" w:lineRule="auto"/>
        <w:ind w:left="0"/>
        <w:rPr>
          <w:rFonts w:ascii="Times New Roman" w:eastAsia="Times New Roman" w:hAnsi="Times New Roman" w:cs="Times New Roman"/>
          <w:b/>
          <w:sz w:val="24"/>
          <w:szCs w:val="24"/>
        </w:rPr>
      </w:pPr>
    </w:p>
    <w:p w14:paraId="516602F5"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En virtud de lo expuesto anteriormente, </w:t>
      </w:r>
      <w:r>
        <w:rPr>
          <w:rFonts w:ascii="Times New Roman" w:eastAsia="Times New Roman" w:hAnsi="Times New Roman" w:cs="Times New Roman"/>
          <w:sz w:val="24"/>
          <w:szCs w:val="24"/>
        </w:rPr>
        <w:t xml:space="preserve">nos </w:t>
      </w:r>
      <w:r>
        <w:rPr>
          <w:rFonts w:ascii="Times New Roman" w:eastAsia="Times New Roman" w:hAnsi="Times New Roman" w:cs="Times New Roman"/>
          <w:color w:val="000000"/>
          <w:sz w:val="24"/>
          <w:szCs w:val="24"/>
        </w:rPr>
        <w:t xml:space="preserve"> permi</w:t>
      </w:r>
      <w:r>
        <w:rPr>
          <w:rFonts w:ascii="Times New Roman" w:eastAsia="Times New Roman" w:hAnsi="Times New Roman" w:cs="Times New Roman"/>
          <w:sz w:val="24"/>
          <w:szCs w:val="24"/>
        </w:rPr>
        <w:t xml:space="preserve">timos </w:t>
      </w:r>
      <w:r>
        <w:rPr>
          <w:rFonts w:ascii="Times New Roman" w:eastAsia="Times New Roman" w:hAnsi="Times New Roman" w:cs="Times New Roman"/>
          <w:color w:val="000000"/>
          <w:sz w:val="24"/>
          <w:szCs w:val="24"/>
        </w:rPr>
        <w:t xml:space="preserve"> rendir </w:t>
      </w:r>
      <w:r>
        <w:rPr>
          <w:rFonts w:ascii="Times New Roman" w:eastAsia="Times New Roman" w:hAnsi="Times New Roman" w:cs="Times New Roman"/>
          <w:b/>
          <w:color w:val="000000"/>
          <w:sz w:val="24"/>
          <w:szCs w:val="24"/>
        </w:rPr>
        <w:t xml:space="preserve">PONENCIA CONJUNTA POSITIVA CON MODIFICACIONES </w:t>
      </w:r>
      <w:r>
        <w:rPr>
          <w:rFonts w:ascii="Times New Roman" w:eastAsia="Times New Roman" w:hAnsi="Times New Roman" w:cs="Times New Roman"/>
          <w:color w:val="000000"/>
          <w:sz w:val="24"/>
          <w:szCs w:val="24"/>
        </w:rPr>
        <w:t xml:space="preserve">al </w:t>
      </w:r>
      <w:r>
        <w:rPr>
          <w:rFonts w:ascii="Times New Roman" w:eastAsia="Times New Roman" w:hAnsi="Times New Roman" w:cs="Times New Roman"/>
          <w:b/>
          <w:sz w:val="24"/>
          <w:szCs w:val="24"/>
        </w:rPr>
        <w:t>P</w:t>
      </w:r>
      <w:r>
        <w:rPr>
          <w:rFonts w:ascii="Times New Roman" w:eastAsia="Times New Roman" w:hAnsi="Times New Roman" w:cs="Times New Roman"/>
          <w:b/>
          <w:color w:val="000000"/>
          <w:sz w:val="24"/>
          <w:szCs w:val="24"/>
        </w:rPr>
        <w:t xml:space="preserve">royecto de Acuerdo </w:t>
      </w:r>
      <w:r>
        <w:rPr>
          <w:rFonts w:ascii="Times New Roman" w:eastAsia="Times New Roman" w:hAnsi="Times New Roman" w:cs="Times New Roman"/>
          <w:b/>
          <w:sz w:val="24"/>
          <w:szCs w:val="24"/>
        </w:rPr>
        <w:t>177</w:t>
      </w:r>
      <w:r>
        <w:rPr>
          <w:rFonts w:ascii="Times New Roman" w:eastAsia="Times New Roman" w:hAnsi="Times New Roman" w:cs="Times New Roman"/>
          <w:b/>
          <w:color w:val="000000"/>
          <w:sz w:val="24"/>
          <w:szCs w:val="24"/>
        </w:rPr>
        <w:t xml:space="preserve"> del 202</w:t>
      </w:r>
      <w:r>
        <w:rPr>
          <w:rFonts w:ascii="Times New Roman" w:eastAsia="Times New Roman" w:hAnsi="Times New Roman" w:cs="Times New Roman"/>
          <w:b/>
          <w:sz w:val="24"/>
          <w:szCs w:val="24"/>
        </w:rPr>
        <w:t>5</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i/>
          <w:sz w:val="24"/>
          <w:szCs w:val="24"/>
        </w:rPr>
        <w:t>POR MEDIO DEL CUAL SE IMPLEMENTA LA LÍNEA DE ATENCIÓN Y ORIENTACIÓN DEL ADULTO MAYOR</w:t>
      </w:r>
      <w:r>
        <w:rPr>
          <w:rFonts w:ascii="Times New Roman" w:eastAsia="Times New Roman" w:hAnsi="Times New Roman" w:cs="Times New Roman"/>
          <w:b/>
          <w:color w:val="000000"/>
          <w:sz w:val="24"/>
          <w:szCs w:val="24"/>
        </w:rPr>
        <w:t xml:space="preserve">”. </w:t>
      </w:r>
    </w:p>
    <w:p w14:paraId="518C5C86" w14:textId="77777777" w:rsidR="00B33822" w:rsidRDefault="00B33822">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3FAF6AC5" w14:textId="77777777" w:rsidR="00A817D5" w:rsidRDefault="00A817D5">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10C6739F" w14:textId="77777777" w:rsidR="00B33822" w:rsidRDefault="00072DA4">
      <w:pPr>
        <w:pBdr>
          <w:top w:val="nil"/>
          <w:left w:val="nil"/>
          <w:bottom w:val="nil"/>
          <w:right w:val="nil"/>
          <w:between w:val="nil"/>
        </w:pBdr>
        <w:spacing w:after="0" w:line="24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Cordialmente</w:t>
      </w:r>
    </w:p>
    <w:p w14:paraId="284E66AA" w14:textId="77777777" w:rsidR="00B33822" w:rsidRDefault="00B33822">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rPr>
      </w:pPr>
    </w:p>
    <w:p w14:paraId="62C561AC" w14:textId="77777777" w:rsidR="00B33822" w:rsidRDefault="00B33822">
      <w:pPr>
        <w:pBdr>
          <w:top w:val="nil"/>
          <w:left w:val="nil"/>
          <w:bottom w:val="nil"/>
          <w:right w:val="nil"/>
          <w:between w:val="nil"/>
        </w:pBdr>
        <w:spacing w:after="0" w:line="240" w:lineRule="auto"/>
        <w:ind w:left="720"/>
        <w:rPr>
          <w:rFonts w:ascii="Times New Roman" w:eastAsia="Times New Roman" w:hAnsi="Times New Roman" w:cs="Times New Roman"/>
          <w:b/>
          <w:color w:val="000000"/>
          <w:sz w:val="24"/>
          <w:szCs w:val="24"/>
        </w:rPr>
      </w:pPr>
    </w:p>
    <w:p w14:paraId="7E43D42D" w14:textId="77777777" w:rsidR="00A817D5" w:rsidRDefault="00A817D5">
      <w:pPr>
        <w:pBdr>
          <w:top w:val="nil"/>
          <w:left w:val="nil"/>
          <w:bottom w:val="nil"/>
          <w:right w:val="nil"/>
          <w:between w:val="nil"/>
        </w:pBdr>
        <w:spacing w:after="0" w:line="240" w:lineRule="auto"/>
        <w:ind w:left="720"/>
        <w:rPr>
          <w:rFonts w:ascii="Times New Roman" w:eastAsia="Times New Roman" w:hAnsi="Times New Roman" w:cs="Times New Roman"/>
          <w:b/>
          <w:color w:val="000000"/>
          <w:sz w:val="24"/>
          <w:szCs w:val="24"/>
        </w:rPr>
      </w:pPr>
    </w:p>
    <w:p w14:paraId="4940DC20" w14:textId="77777777" w:rsidR="00B33822" w:rsidRDefault="00B33822">
      <w:pPr>
        <w:spacing w:after="0" w:line="240" w:lineRule="auto"/>
        <w:ind w:left="0"/>
        <w:rPr>
          <w:rFonts w:ascii="Times New Roman" w:eastAsia="Times New Roman" w:hAnsi="Times New Roman" w:cs="Times New Roman"/>
          <w:sz w:val="24"/>
          <w:szCs w:val="24"/>
        </w:rPr>
      </w:pPr>
    </w:p>
    <w:p w14:paraId="58498CE4" w14:textId="3A795464" w:rsidR="00B33822" w:rsidRPr="00A27C80" w:rsidRDefault="00072DA4">
      <w:pPr>
        <w:spacing w:after="0" w:line="240" w:lineRule="auto"/>
        <w:ind w:left="0"/>
        <w:rPr>
          <w:rFonts w:ascii="Times New Roman" w:eastAsia="Times New Roman" w:hAnsi="Times New Roman" w:cs="Times New Roman"/>
          <w:b/>
          <w:sz w:val="24"/>
          <w:szCs w:val="24"/>
        </w:rPr>
      </w:pPr>
      <w:r w:rsidRPr="00A27C80">
        <w:rPr>
          <w:rFonts w:ascii="Times New Roman" w:eastAsia="Times New Roman" w:hAnsi="Times New Roman" w:cs="Times New Roman"/>
          <w:b/>
          <w:sz w:val="24"/>
          <w:szCs w:val="24"/>
        </w:rPr>
        <w:t>ARMANDO GUTIÉRREZ GONZÁLEZ</w:t>
      </w:r>
      <w:r>
        <w:rPr>
          <w:rFonts w:ascii="Times New Roman" w:eastAsia="Times New Roman" w:hAnsi="Times New Roman" w:cs="Times New Roman"/>
          <w:sz w:val="24"/>
          <w:szCs w:val="24"/>
        </w:rPr>
        <w:t xml:space="preserve">     </w:t>
      </w:r>
      <w:r w:rsidRPr="00A27C80">
        <w:rPr>
          <w:rFonts w:ascii="Times New Roman" w:eastAsia="Times New Roman" w:hAnsi="Times New Roman" w:cs="Times New Roman"/>
          <w:b/>
          <w:sz w:val="24"/>
          <w:szCs w:val="24"/>
        </w:rPr>
        <w:t>ROCÍO DUSSÁN PÉREZ</w:t>
      </w:r>
    </w:p>
    <w:p w14:paraId="18AEFBCB"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Concejal de Bogotá                                            Concejal de Bogotá</w:t>
      </w:r>
    </w:p>
    <w:p w14:paraId="0BFE62FB"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Partido Liberal Colombiano                               Polo Democrático Alternativo</w:t>
      </w:r>
    </w:p>
    <w:p w14:paraId="3927EE8E"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BF7A057" w14:textId="13C49B7A" w:rsidR="00B33822" w:rsidRDefault="00B33822">
      <w:pPr>
        <w:spacing w:after="0" w:line="240" w:lineRule="auto"/>
        <w:ind w:left="0"/>
        <w:rPr>
          <w:rFonts w:ascii="Times New Roman" w:eastAsia="Times New Roman" w:hAnsi="Times New Roman" w:cs="Times New Roman"/>
          <w:sz w:val="24"/>
          <w:szCs w:val="24"/>
        </w:rPr>
      </w:pPr>
    </w:p>
    <w:p w14:paraId="788D458C" w14:textId="5EB20ED5" w:rsidR="00A27C80" w:rsidRDefault="00A27C80">
      <w:pPr>
        <w:spacing w:after="0" w:line="240" w:lineRule="auto"/>
        <w:ind w:left="0"/>
        <w:rPr>
          <w:rFonts w:ascii="Times New Roman" w:eastAsia="Times New Roman" w:hAnsi="Times New Roman" w:cs="Times New Roman"/>
          <w:sz w:val="24"/>
          <w:szCs w:val="24"/>
        </w:rPr>
      </w:pPr>
    </w:p>
    <w:p w14:paraId="6FEFEEB2" w14:textId="62A52364" w:rsidR="00A27C80" w:rsidRDefault="00A27C80">
      <w:pPr>
        <w:spacing w:after="0" w:line="240" w:lineRule="auto"/>
        <w:ind w:left="0"/>
        <w:rPr>
          <w:rFonts w:ascii="Times New Roman" w:eastAsia="Times New Roman" w:hAnsi="Times New Roman" w:cs="Times New Roman"/>
          <w:sz w:val="24"/>
          <w:szCs w:val="24"/>
        </w:rPr>
      </w:pPr>
    </w:p>
    <w:p w14:paraId="744B8F90" w14:textId="11CF7828" w:rsidR="00A27C80" w:rsidRDefault="00A27C80">
      <w:pPr>
        <w:spacing w:after="0" w:line="240" w:lineRule="auto"/>
        <w:ind w:left="0"/>
        <w:rPr>
          <w:rFonts w:ascii="Times New Roman" w:eastAsia="Times New Roman" w:hAnsi="Times New Roman" w:cs="Times New Roman"/>
          <w:sz w:val="24"/>
          <w:szCs w:val="24"/>
        </w:rPr>
      </w:pPr>
    </w:p>
    <w:p w14:paraId="5F415F49" w14:textId="1FF52A5D" w:rsidR="00A27C80" w:rsidRDefault="00A27C80">
      <w:pPr>
        <w:spacing w:after="0" w:line="240" w:lineRule="auto"/>
        <w:ind w:left="0"/>
        <w:rPr>
          <w:rFonts w:ascii="Times New Roman" w:eastAsia="Times New Roman" w:hAnsi="Times New Roman" w:cs="Times New Roman"/>
          <w:sz w:val="24"/>
          <w:szCs w:val="24"/>
        </w:rPr>
      </w:pPr>
    </w:p>
    <w:p w14:paraId="1B66EE41" w14:textId="77777777" w:rsidR="00A27C80" w:rsidRDefault="00A27C80">
      <w:pPr>
        <w:spacing w:after="0" w:line="240" w:lineRule="auto"/>
        <w:ind w:left="0"/>
        <w:rPr>
          <w:rFonts w:ascii="Times New Roman" w:eastAsia="Times New Roman" w:hAnsi="Times New Roman" w:cs="Times New Roman"/>
          <w:sz w:val="24"/>
          <w:szCs w:val="24"/>
        </w:rPr>
      </w:pPr>
    </w:p>
    <w:p w14:paraId="6B569B64" w14:textId="74943739" w:rsidR="00A27C80" w:rsidRDefault="00A27C80">
      <w:pPr>
        <w:spacing w:after="0" w:line="240" w:lineRule="auto"/>
        <w:ind w:left="0"/>
        <w:rPr>
          <w:rFonts w:ascii="Times New Roman" w:eastAsia="Times New Roman" w:hAnsi="Times New Roman" w:cs="Times New Roman"/>
          <w:sz w:val="24"/>
          <w:szCs w:val="24"/>
        </w:rPr>
      </w:pPr>
    </w:p>
    <w:p w14:paraId="7517751F" w14:textId="77777777" w:rsidR="00A27C80" w:rsidRDefault="00A27C80">
      <w:pPr>
        <w:spacing w:after="0" w:line="240" w:lineRule="auto"/>
        <w:ind w:left="0"/>
        <w:rPr>
          <w:rFonts w:ascii="Times New Roman" w:eastAsia="Times New Roman" w:hAnsi="Times New Roman" w:cs="Times New Roman"/>
          <w:sz w:val="24"/>
          <w:szCs w:val="24"/>
        </w:rPr>
      </w:pPr>
    </w:p>
    <w:p w14:paraId="54B29CC4" w14:textId="77777777" w:rsidR="00A817D5" w:rsidRDefault="00A817D5">
      <w:pPr>
        <w:spacing w:after="0" w:line="240" w:lineRule="auto"/>
        <w:ind w:left="0"/>
        <w:rPr>
          <w:rFonts w:ascii="Times New Roman" w:eastAsia="Times New Roman" w:hAnsi="Times New Roman" w:cs="Times New Roman"/>
          <w:sz w:val="24"/>
          <w:szCs w:val="24"/>
        </w:rPr>
      </w:pPr>
    </w:p>
    <w:p w14:paraId="75CF12E0" w14:textId="77777777" w:rsidR="00B33822" w:rsidRDefault="00072DA4">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9. PLIEGO DE MODIFICACIONES</w:t>
      </w:r>
    </w:p>
    <w:p w14:paraId="33A0A0DC" w14:textId="684AA63D" w:rsidR="00B33822" w:rsidRDefault="00072DA4" w:rsidP="00A27C80">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p>
    <w:sdt>
      <w:sdtPr>
        <w:tag w:val="goog_rdk_0"/>
        <w:id w:val="-1008217944"/>
        <w:lock w:val="contentLocked"/>
      </w:sdtPr>
      <w:sdtEndPr/>
      <w:sdtContent>
        <w:tbl>
          <w:tblPr>
            <w:tblStyle w:val="a0"/>
            <w:tblW w:w="84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76"/>
            <w:gridCol w:w="2994"/>
            <w:gridCol w:w="2690"/>
          </w:tblGrid>
          <w:tr w:rsidR="00B33822" w14:paraId="0CC39E33" w14:textId="77777777">
            <w:tc>
              <w:tcPr>
                <w:tcW w:w="2775" w:type="dxa"/>
                <w:shd w:val="clear" w:color="auto" w:fill="auto"/>
                <w:tcMar>
                  <w:top w:w="100" w:type="dxa"/>
                  <w:left w:w="100" w:type="dxa"/>
                  <w:bottom w:w="100" w:type="dxa"/>
                  <w:right w:w="100" w:type="dxa"/>
                </w:tcMar>
              </w:tcPr>
              <w:p w14:paraId="3447E699" w14:textId="77777777" w:rsidR="00B33822" w:rsidRDefault="00072DA4">
                <w:pPr>
                  <w:widowControl w:val="0"/>
                  <w:pBdr>
                    <w:top w:val="nil"/>
                    <w:left w:val="nil"/>
                    <w:bottom w:val="nil"/>
                    <w:right w:val="nil"/>
                    <w:between w:val="nil"/>
                  </w:pBd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TEXTO ORIGINAL</w:t>
                </w:r>
              </w:p>
            </w:tc>
            <w:tc>
              <w:tcPr>
                <w:tcW w:w="2994" w:type="dxa"/>
                <w:shd w:val="clear" w:color="auto" w:fill="auto"/>
                <w:tcMar>
                  <w:top w:w="100" w:type="dxa"/>
                  <w:left w:w="100" w:type="dxa"/>
                  <w:bottom w:w="100" w:type="dxa"/>
                  <w:right w:w="100" w:type="dxa"/>
                </w:tcMar>
              </w:tcPr>
              <w:p w14:paraId="45664AC8" w14:textId="77777777" w:rsidR="00B33822" w:rsidRDefault="00072DA4">
                <w:pPr>
                  <w:widowControl w:val="0"/>
                  <w:pBdr>
                    <w:top w:val="nil"/>
                    <w:left w:val="nil"/>
                    <w:bottom w:val="nil"/>
                    <w:right w:val="nil"/>
                    <w:between w:val="nil"/>
                  </w:pBd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PLIEGO MODIFICATORIO</w:t>
                </w:r>
              </w:p>
            </w:tc>
            <w:tc>
              <w:tcPr>
                <w:tcW w:w="2690" w:type="dxa"/>
                <w:shd w:val="clear" w:color="auto" w:fill="auto"/>
                <w:tcMar>
                  <w:top w:w="100" w:type="dxa"/>
                  <w:left w:w="100" w:type="dxa"/>
                  <w:bottom w:w="100" w:type="dxa"/>
                  <w:right w:w="100" w:type="dxa"/>
                </w:tcMar>
              </w:tcPr>
              <w:p w14:paraId="004FB446" w14:textId="77777777" w:rsidR="00B33822" w:rsidRDefault="00072DA4">
                <w:pPr>
                  <w:widowControl w:val="0"/>
                  <w:pBdr>
                    <w:top w:val="nil"/>
                    <w:left w:val="nil"/>
                    <w:bottom w:val="nil"/>
                    <w:right w:val="nil"/>
                    <w:between w:val="nil"/>
                  </w:pBd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JUSTIFICACIÓN</w:t>
                </w:r>
              </w:p>
            </w:tc>
          </w:tr>
          <w:tr w:rsidR="00B33822" w14:paraId="6AD813AD" w14:textId="77777777">
            <w:tc>
              <w:tcPr>
                <w:tcW w:w="2775" w:type="dxa"/>
                <w:shd w:val="clear" w:color="auto" w:fill="auto"/>
                <w:tcMar>
                  <w:top w:w="100" w:type="dxa"/>
                  <w:left w:w="100" w:type="dxa"/>
                  <w:bottom w:w="100" w:type="dxa"/>
                  <w:right w:w="100" w:type="dxa"/>
                </w:tcMar>
              </w:tcPr>
              <w:p w14:paraId="4798C9EB"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“POR MEDIO DEL CUAL SE IIMPLEMENTA LA LÍNEA DE ATENCIÓN Y ORIENTACIÓN DEL ADULTO MAYOR”</w:t>
                </w:r>
              </w:p>
            </w:tc>
            <w:tc>
              <w:tcPr>
                <w:tcW w:w="2994" w:type="dxa"/>
                <w:shd w:val="clear" w:color="auto" w:fill="auto"/>
                <w:tcMar>
                  <w:top w:w="100" w:type="dxa"/>
                  <w:left w:w="100" w:type="dxa"/>
                  <w:bottom w:w="100" w:type="dxa"/>
                  <w:right w:w="100" w:type="dxa"/>
                </w:tcMar>
              </w:tcPr>
              <w:p w14:paraId="4B8717D9"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“POR MEDIO DEL CUAL SE I</w:t>
                </w:r>
                <w:r>
                  <w:rPr>
                    <w:rFonts w:ascii="Times New Roman" w:eastAsia="Times New Roman" w:hAnsi="Times New Roman" w:cs="Times New Roman"/>
                    <w:b/>
                    <w:strike/>
                    <w:sz w:val="20"/>
                    <w:szCs w:val="20"/>
                  </w:rPr>
                  <w:t>I</w:t>
                </w:r>
                <w:r>
                  <w:rPr>
                    <w:rFonts w:ascii="Times New Roman" w:eastAsia="Times New Roman" w:hAnsi="Times New Roman" w:cs="Times New Roman"/>
                    <w:b/>
                    <w:sz w:val="20"/>
                    <w:szCs w:val="20"/>
                  </w:rPr>
                  <w:t xml:space="preserve">MPLEMENTA LA LÍNEA DE ATENCIÓN Y ORIENTACIÓN </w:t>
                </w:r>
                <w:r>
                  <w:rPr>
                    <w:rFonts w:ascii="Times New Roman" w:eastAsia="Times New Roman" w:hAnsi="Times New Roman" w:cs="Times New Roman"/>
                    <w:b/>
                    <w:strike/>
                    <w:sz w:val="20"/>
                    <w:szCs w:val="20"/>
                  </w:rPr>
                  <w:t>DEL ADULTO MAYOR</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FF0000"/>
                    <w:sz w:val="20"/>
                    <w:szCs w:val="20"/>
                  </w:rPr>
                  <w:t>DE LA PERSONA MAYOR</w:t>
                </w:r>
                <w:r>
                  <w:rPr>
                    <w:rFonts w:ascii="Times New Roman" w:eastAsia="Times New Roman" w:hAnsi="Times New Roman" w:cs="Times New Roman"/>
                    <w:b/>
                    <w:sz w:val="20"/>
                    <w:szCs w:val="20"/>
                  </w:rPr>
                  <w:t>”</w:t>
                </w:r>
              </w:p>
            </w:tc>
            <w:tc>
              <w:tcPr>
                <w:tcW w:w="2690" w:type="dxa"/>
                <w:shd w:val="clear" w:color="auto" w:fill="auto"/>
                <w:tcMar>
                  <w:top w:w="100" w:type="dxa"/>
                  <w:left w:w="100" w:type="dxa"/>
                  <w:bottom w:w="100" w:type="dxa"/>
                  <w:right w:w="100" w:type="dxa"/>
                </w:tcMar>
              </w:tcPr>
              <w:p w14:paraId="18AAC86F" w14:textId="77777777" w:rsidR="00B33822" w:rsidRDefault="00072DA4">
                <w:pPr>
                  <w:widowControl w:val="0"/>
                  <w:pBdr>
                    <w:top w:val="nil"/>
                    <w:left w:val="nil"/>
                    <w:bottom w:val="nil"/>
                    <w:right w:val="nil"/>
                    <w:between w:val="nil"/>
                  </w:pBdr>
                  <w:spacing w:after="0" w:line="240" w:lineRule="auto"/>
                  <w:ind w:left="0"/>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Se propone cambiar la palabra ‘adulto mayor’ por ‘persona mayor’ de conformidad con la Ley 2055 de 2020 “Por medio de la cual se aprueba la </w:t>
                </w:r>
                <w:r>
                  <w:rPr>
                    <w:rFonts w:ascii="Times New Roman" w:eastAsia="Times New Roman" w:hAnsi="Times New Roman" w:cs="Times New Roman"/>
                    <w:sz w:val="20"/>
                    <w:szCs w:val="20"/>
                    <w:highlight w:val="white"/>
                  </w:rPr>
                  <w:t>«Convención Interamericana sobre la Protección de los Derechos Humanos de las Personas Mayores», adoptada en Washington, el 15 de junio de 2015; y de acuerdo a la Política Pública Social de Envejecimiento y Vejez.</w:t>
                </w:r>
              </w:p>
            </w:tc>
          </w:tr>
          <w:tr w:rsidR="00B33822" w14:paraId="166D515D" w14:textId="77777777">
            <w:tc>
              <w:tcPr>
                <w:tcW w:w="2775" w:type="dxa"/>
                <w:shd w:val="clear" w:color="auto" w:fill="auto"/>
                <w:tcMar>
                  <w:top w:w="100" w:type="dxa"/>
                  <w:left w:w="100" w:type="dxa"/>
                  <w:bottom w:w="100" w:type="dxa"/>
                  <w:right w:w="100" w:type="dxa"/>
                </w:tcMar>
              </w:tcPr>
              <w:p w14:paraId="7E77CD61"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EL CONCEJO DE BOGOTÁ D.C.</w:t>
                </w:r>
              </w:p>
              <w:p w14:paraId="550EF3E7" w14:textId="77777777" w:rsidR="00B33822" w:rsidRDefault="00B33822">
                <w:pPr>
                  <w:spacing w:after="0" w:line="240" w:lineRule="auto"/>
                  <w:ind w:left="0"/>
                  <w:jc w:val="center"/>
                  <w:rPr>
                    <w:rFonts w:ascii="Times New Roman" w:eastAsia="Times New Roman" w:hAnsi="Times New Roman" w:cs="Times New Roman"/>
                    <w:b/>
                    <w:sz w:val="20"/>
                    <w:szCs w:val="20"/>
                  </w:rPr>
                </w:pPr>
              </w:p>
              <w:p w14:paraId="39AFD3E3"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En ejercicio de las facultades que le confiere el artículo 313 de la Constitución Política de Colombia y el artículo 12 del Decreto Ley 1421 de 1993</w:t>
                </w:r>
              </w:p>
              <w:p w14:paraId="296085AE" w14:textId="77777777" w:rsidR="00B33822" w:rsidRDefault="00B33822">
                <w:pPr>
                  <w:spacing w:after="0" w:line="240" w:lineRule="auto"/>
                  <w:ind w:left="0"/>
                  <w:jc w:val="center"/>
                  <w:rPr>
                    <w:rFonts w:ascii="Times New Roman" w:eastAsia="Times New Roman" w:hAnsi="Times New Roman" w:cs="Times New Roman"/>
                    <w:b/>
                    <w:sz w:val="20"/>
                    <w:szCs w:val="20"/>
                  </w:rPr>
                </w:pPr>
              </w:p>
              <w:p w14:paraId="76F5325C"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ACUERDA </w:t>
                </w:r>
              </w:p>
            </w:tc>
            <w:tc>
              <w:tcPr>
                <w:tcW w:w="2994" w:type="dxa"/>
                <w:shd w:val="clear" w:color="auto" w:fill="auto"/>
                <w:tcMar>
                  <w:top w:w="100" w:type="dxa"/>
                  <w:left w:w="100" w:type="dxa"/>
                  <w:bottom w:w="100" w:type="dxa"/>
                  <w:right w:w="100" w:type="dxa"/>
                </w:tcMar>
              </w:tcPr>
              <w:p w14:paraId="3799DE92"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EL CONCEJO DE BOGOTÁ D.C.</w:t>
                </w:r>
              </w:p>
              <w:p w14:paraId="24FC5724" w14:textId="77777777" w:rsidR="00B33822" w:rsidRDefault="00B33822">
                <w:pPr>
                  <w:spacing w:after="0" w:line="240" w:lineRule="auto"/>
                  <w:ind w:left="0"/>
                  <w:jc w:val="center"/>
                  <w:rPr>
                    <w:rFonts w:ascii="Times New Roman" w:eastAsia="Times New Roman" w:hAnsi="Times New Roman" w:cs="Times New Roman"/>
                    <w:b/>
                    <w:sz w:val="20"/>
                    <w:szCs w:val="20"/>
                  </w:rPr>
                </w:pPr>
              </w:p>
              <w:p w14:paraId="7FA7BA38" w14:textId="77777777" w:rsidR="00B33822" w:rsidRDefault="00072DA4">
                <w:pPr>
                  <w:spacing w:after="0" w:line="240" w:lineRule="auto"/>
                  <w:ind w:left="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En ejercicio de las facultades que le confiere el artículo 313 de la Constitución Política de Colombia y el artículo 12, </w:t>
                </w:r>
                <w:r>
                  <w:rPr>
                    <w:rFonts w:ascii="Times New Roman" w:eastAsia="Times New Roman" w:hAnsi="Times New Roman" w:cs="Times New Roman"/>
                    <w:color w:val="FF0000"/>
                    <w:sz w:val="20"/>
                    <w:szCs w:val="20"/>
                  </w:rPr>
                  <w:t>numeral 1°</w:t>
                </w:r>
                <w:r>
                  <w:rPr>
                    <w:rFonts w:ascii="Times New Roman" w:eastAsia="Times New Roman" w:hAnsi="Times New Roman" w:cs="Times New Roman"/>
                    <w:sz w:val="20"/>
                    <w:szCs w:val="20"/>
                  </w:rPr>
                  <w:t>, del Decreto Ley 1421 de 1993</w:t>
                </w:r>
              </w:p>
              <w:p w14:paraId="609FF4BF" w14:textId="77777777" w:rsidR="00B33822" w:rsidRDefault="00B33822">
                <w:pPr>
                  <w:spacing w:after="0" w:line="240" w:lineRule="auto"/>
                  <w:ind w:left="0"/>
                  <w:jc w:val="center"/>
                  <w:rPr>
                    <w:rFonts w:ascii="Times New Roman" w:eastAsia="Times New Roman" w:hAnsi="Times New Roman" w:cs="Times New Roman"/>
                    <w:b/>
                    <w:sz w:val="20"/>
                    <w:szCs w:val="20"/>
                  </w:rPr>
                </w:pPr>
              </w:p>
              <w:p w14:paraId="737D2DB5" w14:textId="77777777" w:rsidR="00B33822" w:rsidRDefault="00072DA4">
                <w:pPr>
                  <w:spacing w:after="0" w:line="240" w:lineRule="auto"/>
                  <w:ind w:left="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ACUERDA</w:t>
                </w:r>
              </w:p>
            </w:tc>
            <w:tc>
              <w:tcPr>
                <w:tcW w:w="2690" w:type="dxa"/>
                <w:shd w:val="clear" w:color="auto" w:fill="auto"/>
                <w:tcMar>
                  <w:top w:w="100" w:type="dxa"/>
                  <w:left w:w="100" w:type="dxa"/>
                  <w:bottom w:w="100" w:type="dxa"/>
                  <w:right w:w="100" w:type="dxa"/>
                </w:tcMar>
              </w:tcPr>
              <w:p w14:paraId="244F6F4B" w14:textId="77777777" w:rsidR="00B33822" w:rsidRDefault="00072DA4">
                <w:pPr>
                  <w:widowControl w:val="0"/>
                  <w:pBdr>
                    <w:top w:val="nil"/>
                    <w:left w:val="nil"/>
                    <w:bottom w:val="nil"/>
                    <w:right w:val="nil"/>
                    <w:between w:val="nil"/>
                  </w:pBdr>
                  <w:spacing w:after="0" w:line="240" w:lineRule="auto"/>
                  <w:ind w:left="0"/>
                  <w:rPr>
                    <w:rFonts w:ascii="Times New Roman" w:eastAsia="Times New Roman" w:hAnsi="Times New Roman" w:cs="Times New Roman"/>
                    <w:i/>
                    <w:sz w:val="20"/>
                    <w:szCs w:val="20"/>
                  </w:rPr>
                </w:pPr>
                <w:r>
                  <w:rPr>
                    <w:rFonts w:ascii="Times New Roman" w:eastAsia="Times New Roman" w:hAnsi="Times New Roman" w:cs="Times New Roman"/>
                    <w:sz w:val="20"/>
                    <w:szCs w:val="20"/>
                  </w:rPr>
                  <w:t>Se incluye el numeral 1° del artículo 12 del Decreto Ley 1421 de 1993 para mayor especificidad en las atribuciones: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br/>
                </w:r>
                <w:r>
                  <w:rPr>
                    <w:rFonts w:ascii="Times New Roman" w:eastAsia="Times New Roman" w:hAnsi="Times New Roman" w:cs="Times New Roman"/>
                    <w:i/>
                    <w:sz w:val="20"/>
                    <w:szCs w:val="20"/>
                    <w:highlight w:val="white"/>
                  </w:rPr>
                  <w:t>1. Dictar las normas necesarias para garantizar el adecuado cumplimiento de las funciones y la eficiente prestación de los servicios a cargo del Distrito.</w:t>
                </w:r>
              </w:p>
            </w:tc>
          </w:tr>
          <w:tr w:rsidR="00B33822" w14:paraId="47C404C3" w14:textId="77777777">
            <w:tc>
              <w:tcPr>
                <w:tcW w:w="2775" w:type="dxa"/>
                <w:shd w:val="clear" w:color="auto" w:fill="auto"/>
                <w:tcMar>
                  <w:top w:w="100" w:type="dxa"/>
                  <w:left w:w="100" w:type="dxa"/>
                  <w:bottom w:w="100" w:type="dxa"/>
                  <w:right w:w="100" w:type="dxa"/>
                </w:tcMar>
              </w:tcPr>
              <w:p w14:paraId="7AD70A57" w14:textId="77777777" w:rsidR="00B33822" w:rsidRDefault="00072DA4">
                <w:pPr>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ARTÍCULO 1°. OBJETO.  </w:t>
                </w:r>
                <w:r>
                  <w:rPr>
                    <w:rFonts w:ascii="Times New Roman" w:eastAsia="Times New Roman" w:hAnsi="Times New Roman" w:cs="Times New Roman"/>
                    <w:sz w:val="20"/>
                    <w:szCs w:val="20"/>
                  </w:rPr>
                  <w:t xml:space="preserve">Crear la “Línea de atención y orientación del adulto mayor, con el fin de </w:t>
                </w:r>
                <w:r>
                  <w:rPr>
                    <w:rFonts w:ascii="Times New Roman" w:eastAsia="Times New Roman" w:hAnsi="Times New Roman" w:cs="Times New Roman"/>
                    <w:sz w:val="20"/>
                    <w:szCs w:val="20"/>
                    <w:highlight w:val="white"/>
                  </w:rPr>
                  <w:t>promover, reestablecer y defender </w:t>
                </w:r>
                <w:r>
                  <w:rPr>
                    <w:rFonts w:ascii="Times New Roman" w:eastAsia="Times New Roman" w:hAnsi="Times New Roman" w:cs="Times New Roman"/>
                    <w:sz w:val="20"/>
                    <w:szCs w:val="20"/>
                  </w:rPr>
                  <w:t>los derechos de los adultos mayores en Bogotá</w:t>
                </w:r>
                <w:r>
                  <w:rPr>
                    <w:rFonts w:ascii="Times New Roman" w:eastAsia="Times New Roman" w:hAnsi="Times New Roman" w:cs="Times New Roman"/>
                    <w:sz w:val="20"/>
                    <w:szCs w:val="20"/>
                    <w:highlight w:val="white"/>
                  </w:rPr>
                  <w:t xml:space="preserve">, además de la implementación de lineamientos por parte de la administración distrital para el desarrollo de la línea del adulto mayor.  </w:t>
                </w:r>
              </w:p>
            </w:tc>
            <w:tc>
              <w:tcPr>
                <w:tcW w:w="2994" w:type="dxa"/>
                <w:shd w:val="clear" w:color="auto" w:fill="auto"/>
                <w:tcMar>
                  <w:top w:w="100" w:type="dxa"/>
                  <w:left w:w="100" w:type="dxa"/>
                  <w:bottom w:w="100" w:type="dxa"/>
                  <w:right w:w="100" w:type="dxa"/>
                </w:tcMar>
              </w:tcPr>
              <w:p w14:paraId="26B4963B" w14:textId="77777777" w:rsidR="00B33822" w:rsidRDefault="00072DA4">
                <w:pPr>
                  <w:spacing w:after="0" w:line="240" w:lineRule="auto"/>
                  <w:ind w:left="0"/>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 xml:space="preserve">ARTÍCULO 1°. OBJETO.  </w:t>
                </w:r>
                <w:r>
                  <w:rPr>
                    <w:rFonts w:ascii="Times New Roman" w:eastAsia="Times New Roman" w:hAnsi="Times New Roman" w:cs="Times New Roman"/>
                    <w:sz w:val="20"/>
                    <w:szCs w:val="20"/>
                  </w:rPr>
                  <w:t xml:space="preserve">Crear la “Línea de atención y orientación </w:t>
                </w:r>
                <w:r>
                  <w:rPr>
                    <w:rFonts w:ascii="Times New Roman" w:eastAsia="Times New Roman" w:hAnsi="Times New Roman" w:cs="Times New Roman"/>
                    <w:strike/>
                    <w:sz w:val="20"/>
                    <w:szCs w:val="20"/>
                  </w:rPr>
                  <w:t>del adulto mayor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de la persona mayor”</w:t>
                </w:r>
                <w:r>
                  <w:rPr>
                    <w:rFonts w:ascii="Times New Roman" w:eastAsia="Times New Roman" w:hAnsi="Times New Roman" w:cs="Times New Roman"/>
                    <w:sz w:val="20"/>
                    <w:szCs w:val="20"/>
                  </w:rPr>
                  <w:t xml:space="preserve">, con el fin de </w:t>
                </w:r>
                <w:r>
                  <w:rPr>
                    <w:rFonts w:ascii="Times New Roman" w:eastAsia="Times New Roman" w:hAnsi="Times New Roman" w:cs="Times New Roman"/>
                    <w:sz w:val="20"/>
                    <w:szCs w:val="20"/>
                    <w:highlight w:val="white"/>
                  </w:rPr>
                  <w:t>promover, re</w:t>
                </w:r>
                <w:r>
                  <w:rPr>
                    <w:rFonts w:ascii="Times New Roman" w:eastAsia="Times New Roman" w:hAnsi="Times New Roman" w:cs="Times New Roman"/>
                    <w:strike/>
                    <w:sz w:val="20"/>
                    <w:szCs w:val="20"/>
                    <w:highlight w:val="white"/>
                  </w:rPr>
                  <w:t>e</w:t>
                </w:r>
                <w:r>
                  <w:rPr>
                    <w:rFonts w:ascii="Times New Roman" w:eastAsia="Times New Roman" w:hAnsi="Times New Roman" w:cs="Times New Roman"/>
                    <w:sz w:val="20"/>
                    <w:szCs w:val="20"/>
                    <w:highlight w:val="white"/>
                  </w:rPr>
                  <w:t>stablecer y defender los</w:t>
                </w:r>
                <w:r>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sz w:val="20"/>
                    <w:szCs w:val="20"/>
                  </w:rPr>
                  <w:t xml:space="preserve">derechos de </w:t>
                </w:r>
                <w:r>
                  <w:rPr>
                    <w:rFonts w:ascii="Times New Roman" w:eastAsia="Times New Roman" w:hAnsi="Times New Roman" w:cs="Times New Roman"/>
                    <w:strike/>
                    <w:sz w:val="20"/>
                    <w:szCs w:val="20"/>
                  </w:rPr>
                  <w:t>los adultos mayores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 xml:space="preserve">las personas mayores </w:t>
                </w:r>
                <w:r>
                  <w:rPr>
                    <w:rFonts w:ascii="Times New Roman" w:eastAsia="Times New Roman" w:hAnsi="Times New Roman" w:cs="Times New Roman"/>
                    <w:sz w:val="20"/>
                    <w:szCs w:val="20"/>
                  </w:rPr>
                  <w:t>en Bogotá</w:t>
                </w:r>
                <w:r>
                  <w:rPr>
                    <w:rFonts w:ascii="Times New Roman" w:eastAsia="Times New Roman" w:hAnsi="Times New Roman" w:cs="Times New Roman"/>
                    <w:sz w:val="20"/>
                    <w:szCs w:val="20"/>
                    <w:highlight w:val="white"/>
                  </w:rPr>
                  <w:t xml:space="preserve">, además de la implementación de lineamientos por parte de la administración distrital para el desarrollo de </w:t>
                </w:r>
                <w:r>
                  <w:rPr>
                    <w:rFonts w:ascii="Times New Roman" w:eastAsia="Times New Roman" w:hAnsi="Times New Roman" w:cs="Times New Roman"/>
                    <w:strike/>
                    <w:sz w:val="20"/>
                    <w:szCs w:val="20"/>
                    <w:highlight w:val="white"/>
                  </w:rPr>
                  <w:t>la</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color w:val="FF0000"/>
                    <w:sz w:val="20"/>
                    <w:szCs w:val="20"/>
                    <w:highlight w:val="white"/>
                  </w:rPr>
                  <w:t>esta</w:t>
                </w:r>
                <w:r>
                  <w:rPr>
                    <w:rFonts w:ascii="Times New Roman" w:eastAsia="Times New Roman" w:hAnsi="Times New Roman" w:cs="Times New Roman"/>
                    <w:sz w:val="20"/>
                    <w:szCs w:val="20"/>
                    <w:highlight w:val="white"/>
                  </w:rPr>
                  <w:t xml:space="preserve"> línea. </w:t>
                </w:r>
                <w:r>
                  <w:rPr>
                    <w:rFonts w:ascii="Times New Roman" w:eastAsia="Times New Roman" w:hAnsi="Times New Roman" w:cs="Times New Roman"/>
                    <w:strike/>
                    <w:sz w:val="20"/>
                    <w:szCs w:val="20"/>
                    <w:highlight w:val="white"/>
                  </w:rPr>
                  <w:t>del adulto mayor</w:t>
                </w:r>
              </w:p>
            </w:tc>
            <w:tc>
              <w:tcPr>
                <w:tcW w:w="2690" w:type="dxa"/>
                <w:shd w:val="clear" w:color="auto" w:fill="auto"/>
                <w:tcMar>
                  <w:top w:w="100" w:type="dxa"/>
                  <w:left w:w="100" w:type="dxa"/>
                  <w:bottom w:w="100" w:type="dxa"/>
                  <w:right w:w="100" w:type="dxa"/>
                </w:tcMar>
              </w:tcPr>
              <w:p w14:paraId="78F41B30"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r>
          <w:tr w:rsidR="00B33822" w14:paraId="5378F2E7" w14:textId="77777777">
            <w:tc>
              <w:tcPr>
                <w:tcW w:w="2775" w:type="dxa"/>
                <w:shd w:val="clear" w:color="auto" w:fill="auto"/>
                <w:tcMar>
                  <w:top w:w="100" w:type="dxa"/>
                  <w:left w:w="100" w:type="dxa"/>
                  <w:bottom w:w="100" w:type="dxa"/>
                  <w:right w:w="100" w:type="dxa"/>
                </w:tcMar>
              </w:tcPr>
              <w:p w14:paraId="45F77E23" w14:textId="77777777" w:rsidR="00B33822" w:rsidRDefault="00072DA4">
                <w:pP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ARTÍCULO 2°. ARTICULACIÓN.  </w:t>
                </w:r>
                <w:r>
                  <w:rPr>
                    <w:rFonts w:ascii="Times New Roman" w:eastAsia="Times New Roman" w:hAnsi="Times New Roman" w:cs="Times New Roman"/>
                    <w:sz w:val="20"/>
                    <w:szCs w:val="20"/>
                  </w:rPr>
                  <w:t xml:space="preserve">La “Línea de atención y orientación para la protección del adulto mayor se implementará de manera coordinada entre las diferentes entidades de la administración distrital, suministrando acompañamiento jurídico y orientación psico-social, </w:t>
                </w:r>
                <w:r>
                  <w:rPr>
                    <w:rFonts w:ascii="Times New Roman" w:eastAsia="Times New Roman" w:hAnsi="Times New Roman" w:cs="Times New Roman"/>
                    <w:sz w:val="20"/>
                    <w:szCs w:val="20"/>
                  </w:rPr>
                  <w:lastRenderedPageBreak/>
                  <w:t>familiar e individual, a los adultos mayores de la capital.</w:t>
                </w:r>
              </w:p>
              <w:p w14:paraId="42AEE1A0"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c>
              <w:tcPr>
                <w:tcW w:w="2994" w:type="dxa"/>
                <w:shd w:val="clear" w:color="auto" w:fill="auto"/>
                <w:tcMar>
                  <w:top w:w="100" w:type="dxa"/>
                  <w:left w:w="100" w:type="dxa"/>
                  <w:bottom w:w="100" w:type="dxa"/>
                  <w:right w:w="100" w:type="dxa"/>
                </w:tcMar>
              </w:tcPr>
              <w:p w14:paraId="4A1299F5" w14:textId="77777777" w:rsidR="00B33822" w:rsidRDefault="00072DA4">
                <w:pPr>
                  <w:spacing w:after="0" w:line="240" w:lineRule="auto"/>
                  <w:ind w:left="0"/>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lastRenderedPageBreak/>
                  <w:t xml:space="preserve">ARTÍCULO 2°. ARTICULACIÓN.  </w:t>
                </w:r>
                <w:r>
                  <w:rPr>
                    <w:rFonts w:ascii="Times New Roman" w:eastAsia="Times New Roman" w:hAnsi="Times New Roman" w:cs="Times New Roman"/>
                    <w:sz w:val="20"/>
                    <w:szCs w:val="20"/>
                  </w:rPr>
                  <w:t xml:space="preserve">La “Línea de atención y orientación </w:t>
                </w:r>
                <w:r>
                  <w:rPr>
                    <w:rFonts w:ascii="Times New Roman" w:eastAsia="Times New Roman" w:hAnsi="Times New Roman" w:cs="Times New Roman"/>
                    <w:strike/>
                    <w:sz w:val="20"/>
                    <w:szCs w:val="20"/>
                  </w:rPr>
                  <w:t>para</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la protección</w:t>
                </w:r>
                <w:r>
                  <w:rPr>
                    <w:rFonts w:ascii="Times New Roman" w:eastAsia="Times New Roman" w:hAnsi="Times New Roman" w:cs="Times New Roman"/>
                    <w:sz w:val="20"/>
                    <w:szCs w:val="20"/>
                  </w:rPr>
                  <w:t xml:space="preserve"> de</w:t>
                </w:r>
                <w:r>
                  <w:rPr>
                    <w:rFonts w:ascii="Times New Roman" w:eastAsia="Times New Roman" w:hAnsi="Times New Roman" w:cs="Times New Roman"/>
                    <w:strike/>
                    <w:sz w:val="20"/>
                    <w:szCs w:val="20"/>
                  </w:rPr>
                  <w:t>l</w:t>
                </w:r>
                <w:r>
                  <w:rPr>
                    <w:rFonts w:ascii="Times New Roman" w:eastAsia="Times New Roman" w:hAnsi="Times New Roman" w:cs="Times New Roman"/>
                    <w:sz w:val="20"/>
                    <w:szCs w:val="20"/>
                  </w:rPr>
                  <w:t xml:space="preserve"> </w:t>
                </w:r>
                <w:r>
                  <w:rPr>
                    <w:rFonts w:ascii="Times New Roman" w:eastAsia="Times New Roman" w:hAnsi="Times New Roman" w:cs="Times New Roman"/>
                    <w:strike/>
                    <w:sz w:val="20"/>
                    <w:szCs w:val="20"/>
                  </w:rPr>
                  <w:t>adulto mayor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la persona mayor”</w:t>
                </w:r>
                <w:r>
                  <w:rPr>
                    <w:rFonts w:ascii="Times New Roman" w:eastAsia="Times New Roman" w:hAnsi="Times New Roman" w:cs="Times New Roman"/>
                    <w:sz w:val="20"/>
                    <w:szCs w:val="20"/>
                  </w:rPr>
                  <w:t xml:space="preserve"> se implementará de manera coordinada entre las diferentes entidades de la administración distrital, suministrando acompañamiento jurídico y orientación psico-social, </w:t>
                </w:r>
                <w:r>
                  <w:rPr>
                    <w:rFonts w:ascii="Times New Roman" w:eastAsia="Times New Roman" w:hAnsi="Times New Roman" w:cs="Times New Roman"/>
                    <w:sz w:val="20"/>
                    <w:szCs w:val="20"/>
                  </w:rPr>
                  <w:lastRenderedPageBreak/>
                  <w:t xml:space="preserve">familiar e individual, a </w:t>
                </w:r>
                <w:r>
                  <w:rPr>
                    <w:rFonts w:ascii="Times New Roman" w:eastAsia="Times New Roman" w:hAnsi="Times New Roman" w:cs="Times New Roman"/>
                    <w:strike/>
                    <w:sz w:val="20"/>
                    <w:szCs w:val="20"/>
                  </w:rPr>
                  <w:t>los adultos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 xml:space="preserve">las personas </w:t>
                </w:r>
                <w:r>
                  <w:rPr>
                    <w:rFonts w:ascii="Times New Roman" w:eastAsia="Times New Roman" w:hAnsi="Times New Roman" w:cs="Times New Roman"/>
                    <w:sz w:val="20"/>
                    <w:szCs w:val="20"/>
                  </w:rPr>
                  <w:t>mayores de la capital</w:t>
                </w:r>
                <w:r>
                  <w:rPr>
                    <w:rFonts w:ascii="Times New Roman" w:eastAsia="Times New Roman" w:hAnsi="Times New Roman" w:cs="Times New Roman"/>
                    <w:color w:val="FF0000"/>
                    <w:sz w:val="20"/>
                    <w:szCs w:val="20"/>
                  </w:rPr>
                  <w:t>, sus familias y la ciudadanía en general que quiera denunciar un caso de maltrato o abandono hacia una persona mayor.</w:t>
                </w:r>
              </w:p>
            </w:tc>
            <w:tc>
              <w:tcPr>
                <w:tcW w:w="2690" w:type="dxa"/>
                <w:shd w:val="clear" w:color="auto" w:fill="auto"/>
                <w:tcMar>
                  <w:top w:w="100" w:type="dxa"/>
                  <w:left w:w="100" w:type="dxa"/>
                  <w:bottom w:w="100" w:type="dxa"/>
                  <w:right w:w="100" w:type="dxa"/>
                </w:tcMar>
              </w:tcPr>
              <w:p w14:paraId="46A915E2" w14:textId="77777777" w:rsidR="00B33822" w:rsidRDefault="00072DA4">
                <w:pPr>
                  <w:widowControl w:val="0"/>
                  <w:pBdr>
                    <w:top w:val="nil"/>
                    <w:left w:val="nil"/>
                    <w:bottom w:val="nil"/>
                    <w:right w:val="nil"/>
                    <w:between w:val="nil"/>
                  </w:pBd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Por técnica jurídica se deja el mismo nombre de la línea que en el título del proyecto.</w:t>
                </w:r>
              </w:p>
              <w:p w14:paraId="5FB95CAF" w14:textId="77777777" w:rsidR="00B33822" w:rsidRDefault="00B33822">
                <w:pPr>
                  <w:widowControl w:val="0"/>
                  <w:pBdr>
                    <w:top w:val="nil"/>
                    <w:left w:val="nil"/>
                    <w:bottom w:val="nil"/>
                    <w:right w:val="nil"/>
                    <w:between w:val="nil"/>
                  </w:pBdr>
                  <w:spacing w:after="0" w:line="240" w:lineRule="auto"/>
                  <w:ind w:left="0"/>
                  <w:rPr>
                    <w:rFonts w:ascii="Times New Roman" w:eastAsia="Times New Roman" w:hAnsi="Times New Roman" w:cs="Times New Roman"/>
                    <w:sz w:val="20"/>
                    <w:szCs w:val="20"/>
                  </w:rPr>
                </w:pPr>
              </w:p>
              <w:p w14:paraId="6525A0C1" w14:textId="77777777" w:rsidR="00B33822" w:rsidRDefault="00072DA4">
                <w:pPr>
                  <w:widowControl w:val="0"/>
                  <w:pBdr>
                    <w:top w:val="nil"/>
                    <w:left w:val="nil"/>
                    <w:bottom w:val="nil"/>
                    <w:right w:val="nil"/>
                    <w:between w:val="nil"/>
                  </w:pBd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Es clave involucrar a las familias y la ciudadanía en general en la corresponsabilidad que tienen junto con el Estado de velar por la protección y garantía de los </w:t>
                </w:r>
                <w:r>
                  <w:rPr>
                    <w:rFonts w:ascii="Times New Roman" w:eastAsia="Times New Roman" w:hAnsi="Times New Roman" w:cs="Times New Roman"/>
                    <w:sz w:val="20"/>
                    <w:szCs w:val="20"/>
                  </w:rPr>
                  <w:lastRenderedPageBreak/>
                  <w:t>derechos de la población mayor de 60 años.</w:t>
                </w:r>
              </w:p>
              <w:p w14:paraId="6F94FDA1" w14:textId="77777777" w:rsidR="00B33822" w:rsidRDefault="00B33822">
                <w:pPr>
                  <w:widowControl w:val="0"/>
                  <w:pBdr>
                    <w:top w:val="nil"/>
                    <w:left w:val="nil"/>
                    <w:bottom w:val="nil"/>
                    <w:right w:val="nil"/>
                    <w:between w:val="nil"/>
                  </w:pBdr>
                  <w:spacing w:after="0" w:line="240" w:lineRule="auto"/>
                  <w:ind w:left="0"/>
                  <w:rPr>
                    <w:rFonts w:ascii="Times New Roman" w:eastAsia="Times New Roman" w:hAnsi="Times New Roman" w:cs="Times New Roman"/>
                    <w:sz w:val="20"/>
                    <w:szCs w:val="20"/>
                  </w:rPr>
                </w:pPr>
              </w:p>
              <w:p w14:paraId="41D2EA72" w14:textId="77777777" w:rsidR="00B33822" w:rsidRDefault="00B33822">
                <w:pPr>
                  <w:widowControl w:val="0"/>
                  <w:pBdr>
                    <w:top w:val="nil"/>
                    <w:left w:val="nil"/>
                    <w:bottom w:val="nil"/>
                    <w:right w:val="nil"/>
                    <w:between w:val="nil"/>
                  </w:pBdr>
                  <w:spacing w:after="0" w:line="240" w:lineRule="auto"/>
                  <w:ind w:left="0"/>
                  <w:rPr>
                    <w:rFonts w:ascii="Times New Roman" w:eastAsia="Times New Roman" w:hAnsi="Times New Roman" w:cs="Times New Roman"/>
                    <w:sz w:val="20"/>
                    <w:szCs w:val="20"/>
                  </w:rPr>
                </w:pPr>
              </w:p>
            </w:tc>
          </w:tr>
          <w:tr w:rsidR="00B33822" w14:paraId="4F3E15DB" w14:textId="77777777">
            <w:tc>
              <w:tcPr>
                <w:tcW w:w="2775" w:type="dxa"/>
                <w:shd w:val="clear" w:color="auto" w:fill="auto"/>
                <w:tcMar>
                  <w:top w:w="100" w:type="dxa"/>
                  <w:left w:w="100" w:type="dxa"/>
                  <w:bottom w:w="100" w:type="dxa"/>
                  <w:right w:w="100" w:type="dxa"/>
                </w:tcMar>
              </w:tcPr>
              <w:p w14:paraId="620B5970" w14:textId="77777777" w:rsidR="00B33822" w:rsidRDefault="00072DA4">
                <w:pPr>
                  <w:pBdr>
                    <w:top w:val="none" w:sz="0" w:space="0" w:color="D9D9E3"/>
                    <w:left w:val="none" w:sz="0" w:space="0" w:color="D9D9E3"/>
                    <w:bottom w:val="none" w:sz="0" w:space="0" w:color="D9D9E3"/>
                    <w:right w:val="none" w:sz="0" w:space="0" w:color="D9D9E3"/>
                    <w:between w:val="none" w:sz="0" w:space="0" w:color="D9D9E3"/>
                  </w:pBdr>
                  <w:shd w:val="clear" w:color="auto" w:fill="FFFFFF"/>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ARTÍCULO 3°. LINEAMIENTOS</w:t>
                </w:r>
                <w:r>
                  <w:rPr>
                    <w:rFonts w:ascii="Times New Roman" w:eastAsia="Times New Roman" w:hAnsi="Times New Roman" w:cs="Times New Roman"/>
                    <w:sz w:val="20"/>
                    <w:szCs w:val="20"/>
                  </w:rPr>
                  <w:t>. La Administración Distrital definirá los lineamientos para la implementación de la “Línea de atención y orientación del adulto mayor de acuerdo al marco jurídico vigente que regula los derechos de los adultos mayores a tener una vida digna.</w:t>
                </w:r>
              </w:p>
            </w:tc>
            <w:tc>
              <w:tcPr>
                <w:tcW w:w="2994" w:type="dxa"/>
                <w:shd w:val="clear" w:color="auto" w:fill="auto"/>
                <w:tcMar>
                  <w:top w:w="100" w:type="dxa"/>
                  <w:left w:w="100" w:type="dxa"/>
                  <w:bottom w:w="100" w:type="dxa"/>
                  <w:right w:w="100" w:type="dxa"/>
                </w:tcMar>
              </w:tcPr>
              <w:p w14:paraId="68730F80" w14:textId="77777777" w:rsidR="00B33822" w:rsidRDefault="00072DA4">
                <w:pPr>
                  <w:pBdr>
                    <w:top w:val="none" w:sz="0" w:space="0" w:color="D9D9E3"/>
                    <w:left w:val="none" w:sz="0" w:space="0" w:color="D9D9E3"/>
                    <w:bottom w:val="none" w:sz="0" w:space="0" w:color="D9D9E3"/>
                    <w:right w:val="none" w:sz="0" w:space="0" w:color="D9D9E3"/>
                    <w:between w:val="none" w:sz="0" w:space="0" w:color="D9D9E3"/>
                  </w:pBdr>
                  <w:shd w:val="clear" w:color="auto" w:fill="FFFFFF"/>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ARTÍCULO 3°. LINEAMIENTOS</w:t>
                </w:r>
                <w:r>
                  <w:rPr>
                    <w:rFonts w:ascii="Times New Roman" w:eastAsia="Times New Roman" w:hAnsi="Times New Roman" w:cs="Times New Roman"/>
                    <w:sz w:val="20"/>
                    <w:szCs w:val="20"/>
                  </w:rPr>
                  <w:t>. La Administración Distrital definirá los lineamientos para la implementación de la “Línea de atención y orientación de</w:t>
                </w:r>
                <w:r>
                  <w:rPr>
                    <w:rFonts w:ascii="Times New Roman" w:eastAsia="Times New Roman" w:hAnsi="Times New Roman" w:cs="Times New Roman"/>
                    <w:strike/>
                    <w:sz w:val="20"/>
                    <w:szCs w:val="20"/>
                  </w:rPr>
                  <w:t>l adulto mayor</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 xml:space="preserve">la persona mayor” </w:t>
                </w:r>
                <w:r>
                  <w:rPr>
                    <w:rFonts w:ascii="Times New Roman" w:eastAsia="Times New Roman" w:hAnsi="Times New Roman" w:cs="Times New Roman"/>
                    <w:sz w:val="20"/>
                    <w:szCs w:val="20"/>
                  </w:rPr>
                  <w:t xml:space="preserve">de acuerdo al marco jurídico vigente que regula los derechos de </w:t>
                </w:r>
                <w:r>
                  <w:rPr>
                    <w:rFonts w:ascii="Times New Roman" w:eastAsia="Times New Roman" w:hAnsi="Times New Roman" w:cs="Times New Roman"/>
                    <w:strike/>
                    <w:sz w:val="20"/>
                    <w:szCs w:val="20"/>
                  </w:rPr>
                  <w:t>los adultos mayores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 xml:space="preserve">las personas mayores </w:t>
                </w:r>
                <w:r>
                  <w:rPr>
                    <w:rFonts w:ascii="Times New Roman" w:eastAsia="Times New Roman" w:hAnsi="Times New Roman" w:cs="Times New Roman"/>
                    <w:sz w:val="20"/>
                    <w:szCs w:val="20"/>
                  </w:rPr>
                  <w:t>a tener una vida digna.</w:t>
                </w:r>
              </w:p>
              <w:p w14:paraId="21269E55" w14:textId="77777777" w:rsidR="00B33822" w:rsidRDefault="00B33822">
                <w:pPr>
                  <w:spacing w:after="0" w:line="240" w:lineRule="auto"/>
                  <w:ind w:left="0"/>
                  <w:rPr>
                    <w:rFonts w:ascii="Times New Roman" w:eastAsia="Times New Roman" w:hAnsi="Times New Roman" w:cs="Times New Roman"/>
                    <w:color w:val="FF0000"/>
                    <w:sz w:val="20"/>
                    <w:szCs w:val="20"/>
                  </w:rPr>
                </w:pPr>
              </w:p>
              <w:p w14:paraId="6194EDE1" w14:textId="77777777" w:rsidR="00B33822" w:rsidRDefault="00072DA4">
                <w:pPr>
                  <w:spacing w:after="0" w:line="240" w:lineRule="auto"/>
                  <w:ind w:left="0"/>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PARÁGRAFO 1. Se propenderá por contar con un equipo especializado de profesionales para la atención de la “Línea de atención y orientación de la persona mayor”.</w:t>
                </w:r>
              </w:p>
              <w:p w14:paraId="2976CA20" w14:textId="77777777" w:rsidR="00B33822" w:rsidRDefault="00B33822">
                <w:pPr>
                  <w:spacing w:after="0" w:line="240" w:lineRule="auto"/>
                  <w:ind w:left="0"/>
                  <w:rPr>
                    <w:rFonts w:ascii="Times New Roman" w:eastAsia="Times New Roman" w:hAnsi="Times New Roman" w:cs="Times New Roman"/>
                    <w:color w:val="FF0000"/>
                    <w:sz w:val="20"/>
                    <w:szCs w:val="20"/>
                  </w:rPr>
                </w:pPr>
              </w:p>
              <w:p w14:paraId="4D34EAFE" w14:textId="77777777" w:rsidR="00B33822" w:rsidRDefault="00072DA4">
                <w:pPr>
                  <w:spacing w:after="0" w:line="240" w:lineRule="auto"/>
                  <w:ind w:left="0"/>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PARÁGRAFO 2. En la “Línea de atención y orientación de la persona mayor”  se garantizará que las personas mayores conozcan todos los programas y la oferta de servicios sociales a su disposición y de acuerdo a sus necesidades, en el marco de la Política Pública Social de Envejecimiento y Vejez.</w:t>
                </w:r>
              </w:p>
            </w:tc>
            <w:tc>
              <w:tcPr>
                <w:tcW w:w="2690" w:type="dxa"/>
                <w:shd w:val="clear" w:color="auto" w:fill="auto"/>
                <w:tcMar>
                  <w:top w:w="100" w:type="dxa"/>
                  <w:left w:w="100" w:type="dxa"/>
                  <w:bottom w:w="100" w:type="dxa"/>
                  <w:right w:w="100" w:type="dxa"/>
                </w:tcMar>
              </w:tcPr>
              <w:p w14:paraId="0227E30D" w14:textId="77777777" w:rsidR="00B33822" w:rsidRDefault="00072DA4">
                <w:pPr>
                  <w:widowControl w:val="0"/>
                  <w:pBdr>
                    <w:top w:val="nil"/>
                    <w:left w:val="nil"/>
                    <w:bottom w:val="nil"/>
                    <w:right w:val="nil"/>
                    <w:between w:val="nil"/>
                  </w:pBdr>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Se proponen dos parágrafos para que con la iniciativa se garantice, como mínimo: a) Un equipo de profesionales idóneos a cargo de la “Línea de atención y orientación de la persona mayor”; y b) La información pertinente sobre toda la oferta del Distrito dirigida a este grupo etario.</w:t>
                </w:r>
              </w:p>
            </w:tc>
          </w:tr>
          <w:tr w:rsidR="00B33822" w14:paraId="6059E282" w14:textId="77777777">
            <w:tc>
              <w:tcPr>
                <w:tcW w:w="2775" w:type="dxa"/>
                <w:shd w:val="clear" w:color="auto" w:fill="auto"/>
                <w:tcMar>
                  <w:top w:w="100" w:type="dxa"/>
                  <w:left w:w="100" w:type="dxa"/>
                  <w:bottom w:w="100" w:type="dxa"/>
                  <w:right w:w="100" w:type="dxa"/>
                </w:tcMar>
              </w:tcPr>
              <w:p w14:paraId="1BD94BE1" w14:textId="77777777" w:rsidR="00B33822" w:rsidRDefault="00072DA4">
                <w:pPr>
                  <w:pBdr>
                    <w:top w:val="none" w:sz="0" w:space="0" w:color="D9D9E3"/>
                    <w:left w:val="none" w:sz="0" w:space="0" w:color="D9D9E3"/>
                    <w:bottom w:val="none" w:sz="0" w:space="0" w:color="D9D9E3"/>
                    <w:right w:val="none" w:sz="0" w:space="0" w:color="D9D9E3"/>
                    <w:between w:val="none" w:sz="0" w:space="0" w:color="D9D9E3"/>
                  </w:pBdr>
                  <w:shd w:val="clear" w:color="auto" w:fill="FFFFFF"/>
                  <w:spacing w:after="0" w:line="240" w:lineRule="auto"/>
                  <w:ind w:left="0"/>
                  <w:rPr>
                    <w:rFonts w:ascii="Times New Roman" w:eastAsia="Times New Roman" w:hAnsi="Times New Roman" w:cs="Times New Roman"/>
                    <w:sz w:val="20"/>
                    <w:szCs w:val="20"/>
                  </w:rPr>
                </w:pPr>
                <w:r>
                  <w:rPr>
                    <w:rFonts w:ascii="Times New Roman" w:eastAsia="Times New Roman" w:hAnsi="Times New Roman" w:cs="Times New Roman"/>
                    <w:b/>
                    <w:sz w:val="20"/>
                    <w:szCs w:val="20"/>
                  </w:rPr>
                  <w:t>ARTICULO 4°. SEGUIMIENTO Y ACOMPAÑAMIENTO:</w:t>
                </w:r>
                <w:r>
                  <w:rPr>
                    <w:rFonts w:ascii="Times New Roman" w:eastAsia="Times New Roman" w:hAnsi="Times New Roman" w:cs="Times New Roman"/>
                    <w:sz w:val="20"/>
                    <w:szCs w:val="20"/>
                  </w:rPr>
                  <w:t xml:space="preserve"> La Administración Distrital podrá hacer seguimiento y acompañamiento de la atención a los adultos mayores que hagan parte de la red de atención y orientación contra el maltrato, la violencia y el abandono, su operatividad y eficacia.    </w:t>
                </w:r>
              </w:p>
              <w:p w14:paraId="7A40AEA2"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c>
              <w:tcPr>
                <w:tcW w:w="2994" w:type="dxa"/>
                <w:shd w:val="clear" w:color="auto" w:fill="auto"/>
                <w:tcMar>
                  <w:top w:w="100" w:type="dxa"/>
                  <w:left w:w="100" w:type="dxa"/>
                  <w:bottom w:w="100" w:type="dxa"/>
                  <w:right w:w="100" w:type="dxa"/>
                </w:tcMar>
              </w:tcPr>
              <w:p w14:paraId="1E786A06" w14:textId="77777777" w:rsidR="00B33822" w:rsidRDefault="00072DA4">
                <w:pPr>
                  <w:pBdr>
                    <w:top w:val="none" w:sz="0" w:space="0" w:color="D9D9E3"/>
                    <w:left w:val="none" w:sz="0" w:space="0" w:color="D9D9E3"/>
                    <w:bottom w:val="none" w:sz="0" w:space="0" w:color="D9D9E3"/>
                    <w:right w:val="none" w:sz="0" w:space="0" w:color="D9D9E3"/>
                    <w:between w:val="none" w:sz="0" w:space="0" w:color="D9D9E3"/>
                  </w:pBdr>
                  <w:shd w:val="clear" w:color="auto" w:fill="FFFFFF"/>
                  <w:spacing w:after="0" w:line="240" w:lineRule="auto"/>
                  <w:ind w:left="0"/>
                  <w:rPr>
                    <w:rFonts w:ascii="Times New Roman" w:eastAsia="Times New Roman" w:hAnsi="Times New Roman" w:cs="Times New Roman"/>
                    <w:b/>
                    <w:sz w:val="20"/>
                    <w:szCs w:val="20"/>
                  </w:rPr>
                </w:pPr>
                <w:r>
                  <w:rPr>
                    <w:rFonts w:ascii="Times New Roman" w:eastAsia="Times New Roman" w:hAnsi="Times New Roman" w:cs="Times New Roman"/>
                    <w:b/>
                    <w:sz w:val="20"/>
                    <w:szCs w:val="20"/>
                  </w:rPr>
                  <w:t>ART</w:t>
                </w:r>
                <w:r>
                  <w:rPr>
                    <w:rFonts w:ascii="Times New Roman" w:eastAsia="Times New Roman" w:hAnsi="Times New Roman" w:cs="Times New Roman"/>
                    <w:b/>
                    <w:color w:val="FF0000"/>
                    <w:sz w:val="20"/>
                    <w:szCs w:val="20"/>
                  </w:rPr>
                  <w:t>Í</w:t>
                </w:r>
                <w:r>
                  <w:rPr>
                    <w:rFonts w:ascii="Times New Roman" w:eastAsia="Times New Roman" w:hAnsi="Times New Roman" w:cs="Times New Roman"/>
                    <w:b/>
                    <w:sz w:val="20"/>
                    <w:szCs w:val="20"/>
                  </w:rPr>
                  <w:t>CULO 4°. SEGUIMIENTO Y ACOMPAÑAMIENTO</w:t>
                </w:r>
                <w:r>
                  <w:rPr>
                    <w:rFonts w:ascii="Times New Roman" w:eastAsia="Times New Roman" w:hAnsi="Times New Roman" w:cs="Times New Roman"/>
                    <w:b/>
                    <w:strike/>
                    <w:sz w:val="20"/>
                    <w:szCs w:val="20"/>
                  </w:rPr>
                  <w:t>:</w:t>
                </w:r>
                <w:r>
                  <w:rPr>
                    <w:rFonts w:ascii="Times New Roman" w:eastAsia="Times New Roman" w:hAnsi="Times New Roman" w:cs="Times New Roman"/>
                    <w:b/>
                    <w:strike/>
                    <w:color w:val="FF0000"/>
                    <w:sz w:val="20"/>
                    <w:szCs w:val="20"/>
                  </w:rPr>
                  <w:t>.</w:t>
                </w:r>
                <w:r>
                  <w:rPr>
                    <w:rFonts w:ascii="Times New Roman" w:eastAsia="Times New Roman" w:hAnsi="Times New Roman" w:cs="Times New Roman"/>
                    <w:sz w:val="20"/>
                    <w:szCs w:val="20"/>
                  </w:rPr>
                  <w:t xml:space="preserve"> La Administración Distrital podrá hacer seguimiento y acompañamiento de la atención a </w:t>
                </w:r>
                <w:r>
                  <w:rPr>
                    <w:rFonts w:ascii="Times New Roman" w:eastAsia="Times New Roman" w:hAnsi="Times New Roman" w:cs="Times New Roman"/>
                    <w:strike/>
                    <w:sz w:val="20"/>
                    <w:szCs w:val="20"/>
                  </w:rPr>
                  <w:t>los adultos mayores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 xml:space="preserve">las personas mayores </w:t>
                </w:r>
                <w:r>
                  <w:rPr>
                    <w:rFonts w:ascii="Times New Roman" w:eastAsia="Times New Roman" w:hAnsi="Times New Roman" w:cs="Times New Roman"/>
                    <w:sz w:val="20"/>
                    <w:szCs w:val="20"/>
                  </w:rPr>
                  <w:t xml:space="preserve">que hagan parte de la red de atención y orientación contra el maltrato, la violencia y el abandono, su operatividad y eficacia.    </w:t>
                </w:r>
              </w:p>
            </w:tc>
            <w:tc>
              <w:tcPr>
                <w:tcW w:w="2690" w:type="dxa"/>
                <w:shd w:val="clear" w:color="auto" w:fill="auto"/>
                <w:tcMar>
                  <w:top w:w="100" w:type="dxa"/>
                  <w:left w:w="100" w:type="dxa"/>
                  <w:bottom w:w="100" w:type="dxa"/>
                  <w:right w:w="100" w:type="dxa"/>
                </w:tcMar>
              </w:tcPr>
              <w:p w14:paraId="0C8834AF"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r>
          <w:tr w:rsidR="00B33822" w14:paraId="0C16E682" w14:textId="77777777">
            <w:tc>
              <w:tcPr>
                <w:tcW w:w="2775" w:type="dxa"/>
                <w:shd w:val="clear" w:color="auto" w:fill="auto"/>
                <w:tcMar>
                  <w:top w:w="100" w:type="dxa"/>
                  <w:left w:w="100" w:type="dxa"/>
                  <w:bottom w:w="100" w:type="dxa"/>
                  <w:right w:w="100" w:type="dxa"/>
                </w:tcMar>
              </w:tcPr>
              <w:p w14:paraId="73537342" w14:textId="77777777" w:rsidR="00B33822" w:rsidRDefault="00072DA4">
                <w:pPr>
                  <w:spacing w:after="0" w:line="240" w:lineRule="auto"/>
                  <w:ind w:left="0"/>
                  <w:rPr>
                    <w:rFonts w:ascii="Times New Roman" w:eastAsia="Times New Roman" w:hAnsi="Times New Roman" w:cs="Times New Roman"/>
                    <w:color w:val="FF0000"/>
                    <w:sz w:val="20"/>
                    <w:szCs w:val="20"/>
                  </w:rPr>
                </w:pPr>
                <w:r>
                  <w:rPr>
                    <w:rFonts w:ascii="Times New Roman" w:eastAsia="Times New Roman" w:hAnsi="Times New Roman" w:cs="Times New Roman"/>
                    <w:b/>
                    <w:sz w:val="20"/>
                    <w:szCs w:val="20"/>
                  </w:rPr>
                  <w:t>ARTICULO 5°. PARTICIPACIÓN:</w:t>
                </w:r>
                <w:r>
                  <w:rPr>
                    <w:rFonts w:ascii="Times New Roman" w:eastAsia="Times New Roman" w:hAnsi="Times New Roman" w:cs="Times New Roman"/>
                    <w:sz w:val="20"/>
                    <w:szCs w:val="20"/>
                  </w:rPr>
                  <w:t xml:space="preserve"> La Administración Distrital definirá cuales son los requisitos operativos, profesionales, técnicos o asistenciales que se </w:t>
                </w:r>
                <w:r>
                  <w:rPr>
                    <w:rFonts w:ascii="Times New Roman" w:eastAsia="Times New Roman" w:hAnsi="Times New Roman" w:cs="Times New Roman"/>
                    <w:sz w:val="20"/>
                    <w:szCs w:val="20"/>
                  </w:rPr>
                  <w:lastRenderedPageBreak/>
                  <w:t>requieran para la creación y funcionamiento de la “Línea de atención y orientación y se sugiere que se haga partícipe a los adultos mayores como acción de restablecimiento de sus derechos.</w:t>
                </w:r>
              </w:p>
              <w:p w14:paraId="6379A99B"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c>
              <w:tcPr>
                <w:tcW w:w="2994" w:type="dxa"/>
                <w:shd w:val="clear" w:color="auto" w:fill="auto"/>
                <w:tcMar>
                  <w:top w:w="100" w:type="dxa"/>
                  <w:left w:w="100" w:type="dxa"/>
                  <w:bottom w:w="100" w:type="dxa"/>
                  <w:right w:w="100" w:type="dxa"/>
                </w:tcMar>
              </w:tcPr>
              <w:p w14:paraId="4D6C7819" w14:textId="77777777" w:rsidR="00B33822" w:rsidRDefault="00072DA4">
                <w:pPr>
                  <w:spacing w:after="0" w:line="240" w:lineRule="auto"/>
                  <w:ind w:left="0"/>
                  <w:rPr>
                    <w:rFonts w:ascii="Times New Roman" w:eastAsia="Times New Roman" w:hAnsi="Times New Roman" w:cs="Times New Roman"/>
                    <w:color w:val="FF0000"/>
                    <w:sz w:val="20"/>
                    <w:szCs w:val="20"/>
                  </w:rPr>
                </w:pPr>
                <w:r>
                  <w:rPr>
                    <w:rFonts w:ascii="Times New Roman" w:eastAsia="Times New Roman" w:hAnsi="Times New Roman" w:cs="Times New Roman"/>
                    <w:b/>
                    <w:sz w:val="20"/>
                    <w:szCs w:val="20"/>
                  </w:rPr>
                  <w:lastRenderedPageBreak/>
                  <w:t>ART</w:t>
                </w:r>
                <w:r>
                  <w:rPr>
                    <w:rFonts w:ascii="Times New Roman" w:eastAsia="Times New Roman" w:hAnsi="Times New Roman" w:cs="Times New Roman"/>
                    <w:b/>
                    <w:color w:val="FF0000"/>
                    <w:sz w:val="20"/>
                    <w:szCs w:val="20"/>
                  </w:rPr>
                  <w:t>Í</w:t>
                </w:r>
                <w:r>
                  <w:rPr>
                    <w:rFonts w:ascii="Times New Roman" w:eastAsia="Times New Roman" w:hAnsi="Times New Roman" w:cs="Times New Roman"/>
                    <w:b/>
                    <w:sz w:val="20"/>
                    <w:szCs w:val="20"/>
                  </w:rPr>
                  <w:t>CULO 5°. PARTICIPACIÓN</w:t>
                </w:r>
                <w:r>
                  <w:rPr>
                    <w:rFonts w:ascii="Times New Roman" w:eastAsia="Times New Roman" w:hAnsi="Times New Roman" w:cs="Times New Roman"/>
                    <w:b/>
                    <w:strike/>
                    <w:sz w:val="20"/>
                    <w:szCs w:val="20"/>
                  </w:rPr>
                  <w:t>:</w:t>
                </w:r>
                <w:r>
                  <w:rPr>
                    <w:rFonts w:ascii="Times New Roman" w:eastAsia="Times New Roman" w:hAnsi="Times New Roman" w:cs="Times New Roman"/>
                    <w:b/>
                    <w:strike/>
                    <w:color w:val="FF0000"/>
                    <w:sz w:val="20"/>
                    <w:szCs w:val="20"/>
                  </w:rPr>
                  <w:t>.</w:t>
                </w:r>
                <w:r>
                  <w:rPr>
                    <w:rFonts w:ascii="Times New Roman" w:eastAsia="Times New Roman" w:hAnsi="Times New Roman" w:cs="Times New Roman"/>
                    <w:sz w:val="20"/>
                    <w:szCs w:val="20"/>
                  </w:rPr>
                  <w:t xml:space="preserve"> La Administración Distrital definirá cu</w:t>
                </w:r>
                <w:r>
                  <w:rPr>
                    <w:rFonts w:ascii="Times New Roman" w:eastAsia="Times New Roman" w:hAnsi="Times New Roman" w:cs="Times New Roman"/>
                    <w:color w:val="FF0000"/>
                    <w:sz w:val="20"/>
                    <w:szCs w:val="20"/>
                  </w:rPr>
                  <w:t>á</w:t>
                </w:r>
                <w:r>
                  <w:rPr>
                    <w:rFonts w:ascii="Times New Roman" w:eastAsia="Times New Roman" w:hAnsi="Times New Roman" w:cs="Times New Roman"/>
                    <w:sz w:val="20"/>
                    <w:szCs w:val="20"/>
                  </w:rPr>
                  <w:t xml:space="preserve">les son los requisitos operativos, profesionales, técnicos o asistenciales que se requieran </w:t>
                </w:r>
                <w:r>
                  <w:rPr>
                    <w:rFonts w:ascii="Times New Roman" w:eastAsia="Times New Roman" w:hAnsi="Times New Roman" w:cs="Times New Roman"/>
                    <w:sz w:val="20"/>
                    <w:szCs w:val="20"/>
                  </w:rPr>
                  <w:lastRenderedPageBreak/>
                  <w:t xml:space="preserve">para la creación y funcionamiento de la “Línea de atención y orientación </w:t>
                </w:r>
                <w:r>
                  <w:rPr>
                    <w:rFonts w:ascii="Times New Roman" w:eastAsia="Times New Roman" w:hAnsi="Times New Roman" w:cs="Times New Roman"/>
                    <w:color w:val="FF0000"/>
                    <w:sz w:val="20"/>
                    <w:szCs w:val="20"/>
                  </w:rPr>
                  <w:t xml:space="preserve">a la persona mayor” </w:t>
                </w:r>
                <w:r>
                  <w:rPr>
                    <w:rFonts w:ascii="Times New Roman" w:eastAsia="Times New Roman" w:hAnsi="Times New Roman" w:cs="Times New Roman"/>
                    <w:sz w:val="20"/>
                    <w:szCs w:val="20"/>
                  </w:rPr>
                  <w:t xml:space="preserve">y se sugiere que se haga partícipe a </w:t>
                </w:r>
                <w:r>
                  <w:rPr>
                    <w:rFonts w:ascii="Times New Roman" w:eastAsia="Times New Roman" w:hAnsi="Times New Roman" w:cs="Times New Roman"/>
                    <w:strike/>
                    <w:sz w:val="20"/>
                    <w:szCs w:val="20"/>
                  </w:rPr>
                  <w:t>los adultos mayores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las personas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FF0000"/>
                    <w:sz w:val="20"/>
                    <w:szCs w:val="20"/>
                  </w:rPr>
                  <w:t>mayores</w:t>
                </w:r>
                <w:r>
                  <w:rPr>
                    <w:rFonts w:ascii="Times New Roman" w:eastAsia="Times New Roman" w:hAnsi="Times New Roman" w:cs="Times New Roman"/>
                    <w:sz w:val="20"/>
                    <w:szCs w:val="20"/>
                  </w:rPr>
                  <w:t xml:space="preserve"> como acción de restablecimiento de sus derechos.</w:t>
                </w:r>
              </w:p>
              <w:p w14:paraId="55483A49"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c>
              <w:tcPr>
                <w:tcW w:w="2690" w:type="dxa"/>
                <w:shd w:val="clear" w:color="auto" w:fill="auto"/>
                <w:tcMar>
                  <w:top w:w="100" w:type="dxa"/>
                  <w:left w:w="100" w:type="dxa"/>
                  <w:bottom w:w="100" w:type="dxa"/>
                  <w:right w:w="100" w:type="dxa"/>
                </w:tcMar>
              </w:tcPr>
              <w:p w14:paraId="4EF0EF3D"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r>
          <w:tr w:rsidR="00B33822" w14:paraId="089C7428" w14:textId="77777777">
            <w:tc>
              <w:tcPr>
                <w:tcW w:w="2775" w:type="dxa"/>
                <w:shd w:val="clear" w:color="auto" w:fill="auto"/>
                <w:tcMar>
                  <w:top w:w="100" w:type="dxa"/>
                  <w:left w:w="100" w:type="dxa"/>
                  <w:bottom w:w="100" w:type="dxa"/>
                  <w:right w:w="100" w:type="dxa"/>
                </w:tcMar>
              </w:tcPr>
              <w:p w14:paraId="6595B98E" w14:textId="77777777" w:rsidR="00B33822" w:rsidRDefault="00072DA4">
                <w:pPr>
                  <w:spacing w:after="0" w:line="240" w:lineRule="auto"/>
                  <w:ind w:left="0"/>
                  <w:jc w:val="left"/>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ARTÍCULO 6. VIGENCIA. </w:t>
                </w:r>
                <w:r>
                  <w:rPr>
                    <w:rFonts w:ascii="Times New Roman" w:eastAsia="Times New Roman" w:hAnsi="Times New Roman" w:cs="Times New Roman"/>
                    <w:sz w:val="20"/>
                    <w:szCs w:val="20"/>
                  </w:rPr>
                  <w:t xml:space="preserve">El presente Acuerdo rige a partir de la fecha de su </w:t>
                </w:r>
                <w:hyperlink r:id="rId19">
                  <w:r>
                    <w:rPr>
                      <w:rFonts w:ascii="Times New Roman" w:eastAsia="Times New Roman" w:hAnsi="Times New Roman" w:cs="Times New Roman"/>
                      <w:sz w:val="20"/>
                      <w:szCs w:val="20"/>
                    </w:rPr>
                    <w:t>publicación</w:t>
                  </w:r>
                </w:hyperlink>
                <w:r>
                  <w:rPr>
                    <w:rFonts w:ascii="Times New Roman" w:eastAsia="Times New Roman" w:hAnsi="Times New Roman" w:cs="Times New Roman"/>
                    <w:sz w:val="20"/>
                    <w:szCs w:val="20"/>
                  </w:rPr>
                  <w:t>.</w:t>
                </w:r>
              </w:p>
              <w:p w14:paraId="3BFC5C7F" w14:textId="77777777" w:rsidR="00B33822" w:rsidRDefault="00B33822">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c>
              <w:tcPr>
                <w:tcW w:w="2994" w:type="dxa"/>
                <w:shd w:val="clear" w:color="auto" w:fill="auto"/>
                <w:tcMar>
                  <w:top w:w="100" w:type="dxa"/>
                  <w:left w:w="100" w:type="dxa"/>
                  <w:bottom w:w="100" w:type="dxa"/>
                  <w:right w:w="100" w:type="dxa"/>
                </w:tcMar>
              </w:tcPr>
              <w:p w14:paraId="5B753ACB" w14:textId="77777777" w:rsidR="00B33822" w:rsidRDefault="00072DA4">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r>
                  <w:rPr>
                    <w:rFonts w:ascii="Times New Roman" w:eastAsia="Times New Roman" w:hAnsi="Times New Roman" w:cs="Times New Roman"/>
                    <w:b/>
                    <w:sz w:val="20"/>
                    <w:szCs w:val="20"/>
                  </w:rPr>
                  <w:t>Sin modificación</w:t>
                </w:r>
              </w:p>
            </w:tc>
            <w:tc>
              <w:tcPr>
                <w:tcW w:w="2690" w:type="dxa"/>
                <w:shd w:val="clear" w:color="auto" w:fill="auto"/>
                <w:tcMar>
                  <w:top w:w="100" w:type="dxa"/>
                  <w:left w:w="100" w:type="dxa"/>
                  <w:bottom w:w="100" w:type="dxa"/>
                  <w:right w:w="100" w:type="dxa"/>
                </w:tcMar>
              </w:tcPr>
              <w:p w14:paraId="3B5D629A" w14:textId="77777777" w:rsidR="00B33822" w:rsidRDefault="0025600B">
                <w:pPr>
                  <w:widowControl w:val="0"/>
                  <w:pBdr>
                    <w:top w:val="nil"/>
                    <w:left w:val="nil"/>
                    <w:bottom w:val="nil"/>
                    <w:right w:val="nil"/>
                    <w:between w:val="nil"/>
                  </w:pBdr>
                  <w:spacing w:after="0" w:line="240" w:lineRule="auto"/>
                  <w:ind w:left="0"/>
                  <w:jc w:val="left"/>
                  <w:rPr>
                    <w:rFonts w:ascii="Times New Roman" w:eastAsia="Times New Roman" w:hAnsi="Times New Roman" w:cs="Times New Roman"/>
                    <w:b/>
                    <w:sz w:val="20"/>
                    <w:szCs w:val="20"/>
                  </w:rPr>
                </w:pPr>
              </w:p>
            </w:tc>
          </w:tr>
        </w:tbl>
      </w:sdtContent>
    </w:sdt>
    <w:p w14:paraId="7520DD92" w14:textId="77777777" w:rsidR="00B33822" w:rsidRDefault="00B33822">
      <w:pPr>
        <w:pBdr>
          <w:top w:val="nil"/>
          <w:left w:val="nil"/>
          <w:bottom w:val="nil"/>
          <w:right w:val="nil"/>
          <w:between w:val="nil"/>
        </w:pBdr>
        <w:spacing w:after="0" w:line="240" w:lineRule="auto"/>
        <w:ind w:left="720"/>
        <w:rPr>
          <w:rFonts w:ascii="Times New Roman" w:eastAsia="Times New Roman" w:hAnsi="Times New Roman" w:cs="Times New Roman"/>
          <w:b/>
          <w:sz w:val="20"/>
          <w:szCs w:val="20"/>
        </w:rPr>
      </w:pPr>
    </w:p>
    <w:p w14:paraId="1D6B1AFA" w14:textId="77777777" w:rsidR="00B33822" w:rsidRDefault="00072DA4">
      <w:pPr>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ARTICULADO</w:t>
      </w:r>
    </w:p>
    <w:p w14:paraId="30F69A33" w14:textId="77777777" w:rsidR="00B33822" w:rsidRDefault="00B33822">
      <w:pPr>
        <w:spacing w:after="0" w:line="240" w:lineRule="auto"/>
        <w:ind w:left="360"/>
        <w:rPr>
          <w:rFonts w:ascii="Times New Roman" w:eastAsia="Times New Roman" w:hAnsi="Times New Roman" w:cs="Times New Roman"/>
          <w:b/>
          <w:sz w:val="20"/>
          <w:szCs w:val="20"/>
        </w:rPr>
      </w:pPr>
    </w:p>
    <w:p w14:paraId="7F8664E6" w14:textId="77777777" w:rsidR="00B33822" w:rsidRDefault="00B33822">
      <w:pPr>
        <w:spacing w:after="0" w:line="240" w:lineRule="auto"/>
        <w:ind w:left="360"/>
        <w:rPr>
          <w:rFonts w:ascii="Times New Roman" w:eastAsia="Times New Roman" w:hAnsi="Times New Roman" w:cs="Times New Roman"/>
          <w:b/>
          <w:sz w:val="20"/>
          <w:szCs w:val="20"/>
        </w:rPr>
      </w:pPr>
    </w:p>
    <w:p w14:paraId="61D9CB9B" w14:textId="77777777" w:rsidR="00B33822" w:rsidRDefault="00072DA4">
      <w:pPr>
        <w:spacing w:after="0" w:line="240" w:lineRule="auto"/>
        <w:ind w:left="0"/>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PROYECTO DE ACUERDO N° </w:t>
      </w:r>
      <w:r>
        <w:rPr>
          <w:rFonts w:ascii="Times New Roman" w:eastAsia="Times New Roman" w:hAnsi="Times New Roman" w:cs="Times New Roman"/>
          <w:b/>
          <w:sz w:val="24"/>
          <w:szCs w:val="24"/>
          <w:u w:val="single"/>
        </w:rPr>
        <w:t xml:space="preserve">177 </w:t>
      </w:r>
      <w:r>
        <w:rPr>
          <w:rFonts w:ascii="Times New Roman" w:eastAsia="Times New Roman" w:hAnsi="Times New Roman" w:cs="Times New Roman"/>
          <w:b/>
          <w:sz w:val="24"/>
          <w:szCs w:val="24"/>
        </w:rPr>
        <w:t xml:space="preserve"> DE 202</w:t>
      </w:r>
      <w:r>
        <w:rPr>
          <w:rFonts w:ascii="Times New Roman" w:eastAsia="Times New Roman" w:hAnsi="Times New Roman" w:cs="Times New Roman"/>
          <w:b/>
          <w:sz w:val="24"/>
          <w:szCs w:val="24"/>
          <w:u w:val="single"/>
        </w:rPr>
        <w:t>5</w:t>
      </w:r>
    </w:p>
    <w:p w14:paraId="7B64E37B" w14:textId="77777777" w:rsidR="00B33822" w:rsidRDefault="00B33822">
      <w:pPr>
        <w:spacing w:after="0" w:line="240" w:lineRule="auto"/>
        <w:ind w:left="0"/>
        <w:jc w:val="left"/>
        <w:rPr>
          <w:rFonts w:ascii="Times New Roman" w:eastAsia="Times New Roman" w:hAnsi="Times New Roman" w:cs="Times New Roman"/>
          <w:b/>
          <w:sz w:val="24"/>
          <w:szCs w:val="24"/>
        </w:rPr>
      </w:pPr>
    </w:p>
    <w:p w14:paraId="6877CE48" w14:textId="77777777" w:rsidR="00B33822" w:rsidRDefault="00072DA4">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“POR MEDIO DEL CUAL SE IMPLEMENTA LA LÍNEA DE ATENCIÓN Y ORIENTACIÓN DE LA PERSONA MAYOR”</w:t>
      </w:r>
    </w:p>
    <w:p w14:paraId="57318FE0" w14:textId="77777777" w:rsidR="00B33822" w:rsidRDefault="00B33822">
      <w:pPr>
        <w:spacing w:after="0" w:line="240" w:lineRule="auto"/>
        <w:ind w:left="0"/>
        <w:jc w:val="center"/>
        <w:rPr>
          <w:rFonts w:ascii="Times New Roman" w:eastAsia="Times New Roman" w:hAnsi="Times New Roman" w:cs="Times New Roman"/>
          <w:b/>
          <w:sz w:val="24"/>
          <w:szCs w:val="24"/>
        </w:rPr>
      </w:pPr>
    </w:p>
    <w:p w14:paraId="2369578C" w14:textId="77777777" w:rsidR="00B33822" w:rsidRDefault="00072DA4">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EL CONCEJO DE BOGOTÁ D.C.</w:t>
      </w:r>
    </w:p>
    <w:p w14:paraId="1B50612A" w14:textId="77777777" w:rsidR="00B33822" w:rsidRDefault="00B33822">
      <w:pPr>
        <w:spacing w:after="0" w:line="240" w:lineRule="auto"/>
        <w:ind w:left="0"/>
        <w:jc w:val="center"/>
        <w:rPr>
          <w:rFonts w:ascii="Times New Roman" w:eastAsia="Times New Roman" w:hAnsi="Times New Roman" w:cs="Times New Roman"/>
          <w:b/>
          <w:sz w:val="24"/>
          <w:szCs w:val="24"/>
        </w:rPr>
      </w:pPr>
    </w:p>
    <w:p w14:paraId="75AC50C9" w14:textId="77777777" w:rsidR="00B33822" w:rsidRDefault="00072DA4">
      <w:pPr>
        <w:spacing w:after="0" w:line="240" w:lineRule="auto"/>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En ejercicio de las facultades que le confiere el artículo 313 de la Constitución Política de Colombia y el artículo 12, numeral 1°, del Decreto Ley 1421 de 1993</w:t>
      </w:r>
    </w:p>
    <w:p w14:paraId="6EA428A0" w14:textId="77777777" w:rsidR="00B33822" w:rsidRDefault="00B33822">
      <w:pPr>
        <w:spacing w:after="0" w:line="240" w:lineRule="auto"/>
        <w:ind w:left="0"/>
        <w:jc w:val="center"/>
        <w:rPr>
          <w:rFonts w:ascii="Times New Roman" w:eastAsia="Times New Roman" w:hAnsi="Times New Roman" w:cs="Times New Roman"/>
          <w:b/>
          <w:sz w:val="24"/>
          <w:szCs w:val="24"/>
        </w:rPr>
      </w:pPr>
    </w:p>
    <w:p w14:paraId="2AB77AD6" w14:textId="77777777" w:rsidR="00B33822" w:rsidRDefault="00072DA4">
      <w:pPr>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ACUERDA</w:t>
      </w:r>
    </w:p>
    <w:p w14:paraId="5BF02F32" w14:textId="77777777" w:rsidR="00B33822" w:rsidRDefault="00B33822">
      <w:pPr>
        <w:spacing w:after="0" w:line="240" w:lineRule="auto"/>
        <w:ind w:left="0"/>
        <w:jc w:val="center"/>
        <w:rPr>
          <w:rFonts w:ascii="Times New Roman" w:eastAsia="Times New Roman" w:hAnsi="Times New Roman" w:cs="Times New Roman"/>
          <w:b/>
          <w:sz w:val="24"/>
          <w:szCs w:val="24"/>
        </w:rPr>
      </w:pPr>
    </w:p>
    <w:p w14:paraId="284F67A2" w14:textId="77777777" w:rsidR="00B33822" w:rsidRDefault="00072DA4">
      <w:pPr>
        <w:spacing w:after="0" w:line="240" w:lineRule="auto"/>
        <w:ind w:left="0"/>
        <w:rPr>
          <w:rFonts w:ascii="Times New Roman" w:eastAsia="Times New Roman" w:hAnsi="Times New Roman" w:cs="Times New Roman"/>
          <w:strike/>
          <w:sz w:val="24"/>
          <w:szCs w:val="24"/>
          <w:highlight w:val="white"/>
        </w:rPr>
      </w:pPr>
      <w:r>
        <w:rPr>
          <w:rFonts w:ascii="Times New Roman" w:eastAsia="Times New Roman" w:hAnsi="Times New Roman" w:cs="Times New Roman"/>
          <w:b/>
          <w:sz w:val="24"/>
          <w:szCs w:val="24"/>
        </w:rPr>
        <w:t xml:space="preserve">ARTÍCULO 1°. OBJETO.  </w:t>
      </w:r>
      <w:r>
        <w:rPr>
          <w:rFonts w:ascii="Times New Roman" w:eastAsia="Times New Roman" w:hAnsi="Times New Roman" w:cs="Times New Roman"/>
          <w:sz w:val="24"/>
          <w:szCs w:val="24"/>
        </w:rPr>
        <w:t xml:space="preserve">Crear la “Línea de atención y orientación de la persona mayor”, con el fin de </w:t>
      </w:r>
      <w:r>
        <w:rPr>
          <w:rFonts w:ascii="Times New Roman" w:eastAsia="Times New Roman" w:hAnsi="Times New Roman" w:cs="Times New Roman"/>
          <w:sz w:val="24"/>
          <w:szCs w:val="24"/>
          <w:highlight w:val="white"/>
        </w:rPr>
        <w:t>promover, restablecer y defender los</w:t>
      </w:r>
      <w:r>
        <w:rPr>
          <w:rFonts w:ascii="Times New Roman" w:eastAsia="Times New Roman" w:hAnsi="Times New Roman" w:cs="Times New Roman"/>
          <w:sz w:val="24"/>
          <w:szCs w:val="24"/>
        </w:rPr>
        <w:t xml:space="preserve"> derechos de las personas mayores en Bogotá</w:t>
      </w:r>
      <w:r>
        <w:rPr>
          <w:rFonts w:ascii="Times New Roman" w:eastAsia="Times New Roman" w:hAnsi="Times New Roman" w:cs="Times New Roman"/>
          <w:sz w:val="24"/>
          <w:szCs w:val="24"/>
          <w:highlight w:val="white"/>
        </w:rPr>
        <w:t xml:space="preserve">, además de la implementación de lineamientos por parte de la administración distrital para el desarrollo de esta línea. </w:t>
      </w:r>
    </w:p>
    <w:p w14:paraId="09477CDC" w14:textId="77777777" w:rsidR="00B33822" w:rsidRDefault="00B33822">
      <w:pPr>
        <w:spacing w:after="0" w:line="240" w:lineRule="auto"/>
        <w:ind w:left="0"/>
        <w:rPr>
          <w:rFonts w:ascii="Times New Roman" w:eastAsia="Times New Roman" w:hAnsi="Times New Roman" w:cs="Times New Roman"/>
          <w:strike/>
          <w:sz w:val="24"/>
          <w:szCs w:val="24"/>
          <w:highlight w:val="white"/>
        </w:rPr>
      </w:pPr>
    </w:p>
    <w:p w14:paraId="168DB095"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2°. ARTICULACIÓN.  </w:t>
      </w:r>
      <w:r>
        <w:rPr>
          <w:rFonts w:ascii="Times New Roman" w:eastAsia="Times New Roman" w:hAnsi="Times New Roman" w:cs="Times New Roman"/>
          <w:sz w:val="24"/>
          <w:szCs w:val="24"/>
        </w:rPr>
        <w:t>La “Línea de atención y orientación de la persona mayor” se implementará de manera coordinada entre las diferentes entidades de la administración distrital, suministrando acompañamiento jurídico y orientación psico-social, familiar e individual, a las personas mayores de la capital, sus familias y la ciudadanía en general que quiera denunciar un caso de maltrato o abandono hacia una persona mayor.</w:t>
      </w:r>
    </w:p>
    <w:p w14:paraId="54BC017F" w14:textId="77777777" w:rsidR="00B33822" w:rsidRDefault="00B33822">
      <w:pPr>
        <w:spacing w:after="0" w:line="240" w:lineRule="auto"/>
        <w:ind w:left="0"/>
        <w:rPr>
          <w:rFonts w:ascii="Times New Roman" w:eastAsia="Times New Roman" w:hAnsi="Times New Roman" w:cs="Times New Roman"/>
          <w:sz w:val="24"/>
          <w:szCs w:val="24"/>
        </w:rPr>
      </w:pPr>
    </w:p>
    <w:p w14:paraId="4B9235E9" w14:textId="77777777" w:rsidR="00B33822" w:rsidRDefault="00072DA4">
      <w:pPr>
        <w:pBdr>
          <w:top w:val="none" w:sz="0" w:space="0" w:color="D9D9E3"/>
          <w:left w:val="none" w:sz="0" w:space="0" w:color="D9D9E3"/>
          <w:bottom w:val="none" w:sz="0" w:space="0" w:color="D9D9E3"/>
          <w:right w:val="none" w:sz="0" w:space="0" w:color="D9D9E3"/>
          <w:between w:val="none" w:sz="0" w:space="0" w:color="D9D9E3"/>
        </w:pBdr>
        <w:shd w:val="clear" w:color="auto" w:fill="FFFFFF"/>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ARTÍCULO 3°. LINEAMIENTOS</w:t>
      </w:r>
      <w:r>
        <w:rPr>
          <w:rFonts w:ascii="Times New Roman" w:eastAsia="Times New Roman" w:hAnsi="Times New Roman" w:cs="Times New Roman"/>
          <w:sz w:val="24"/>
          <w:szCs w:val="24"/>
        </w:rPr>
        <w:t>. La Administración Distrital definirá los lineamientos para la implementación de la “Línea de atención y orientación de la persona mayor” de acuerdo al marco jurídico vigente que regula los derechos de las personas mayores a tener una vida digna.</w:t>
      </w:r>
    </w:p>
    <w:p w14:paraId="432AFE24" w14:textId="77777777" w:rsidR="00B33822" w:rsidRDefault="00B33822">
      <w:pPr>
        <w:spacing w:after="0" w:line="240" w:lineRule="auto"/>
        <w:ind w:left="0"/>
        <w:rPr>
          <w:rFonts w:ascii="Times New Roman" w:eastAsia="Times New Roman" w:hAnsi="Times New Roman" w:cs="Times New Roman"/>
          <w:sz w:val="24"/>
          <w:szCs w:val="24"/>
        </w:rPr>
      </w:pPr>
    </w:p>
    <w:p w14:paraId="63648464"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PARÁGRAFO 1. Se propenderá por contar con un equipo especializado de profesionales para la atención de la “Línea de atención y orientación de la persona mayor”.</w:t>
      </w:r>
    </w:p>
    <w:p w14:paraId="2237DDF3" w14:textId="77777777" w:rsidR="00B33822" w:rsidRDefault="00B33822">
      <w:pPr>
        <w:spacing w:after="0" w:line="240" w:lineRule="auto"/>
        <w:ind w:left="0"/>
        <w:rPr>
          <w:rFonts w:ascii="Times New Roman" w:eastAsia="Times New Roman" w:hAnsi="Times New Roman" w:cs="Times New Roman"/>
          <w:sz w:val="24"/>
          <w:szCs w:val="24"/>
        </w:rPr>
      </w:pPr>
    </w:p>
    <w:p w14:paraId="544A8326"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PARÁGRAFO 2. En la “Línea de atención y orientación de la persona mayor”  se garantizará que las personas mayores conozcan todos los programas y la oferta de servicios sociales a su disposición y de acuerdo a sus necesidades, en el marco de la Política Pública Social de Envejecimiento y Vejez.</w:t>
      </w:r>
    </w:p>
    <w:p w14:paraId="49963AC5" w14:textId="77777777" w:rsidR="00B33822" w:rsidRDefault="00B33822">
      <w:pPr>
        <w:spacing w:after="0" w:line="240" w:lineRule="auto"/>
        <w:ind w:left="0"/>
        <w:rPr>
          <w:rFonts w:ascii="Times New Roman" w:eastAsia="Times New Roman" w:hAnsi="Times New Roman" w:cs="Times New Roman"/>
          <w:b/>
          <w:sz w:val="24"/>
          <w:szCs w:val="24"/>
        </w:rPr>
      </w:pPr>
    </w:p>
    <w:p w14:paraId="23597BF9" w14:textId="77777777" w:rsidR="00B33822" w:rsidRDefault="00072DA4">
      <w:pPr>
        <w:pBdr>
          <w:top w:val="none" w:sz="0" w:space="0" w:color="D9D9E3"/>
          <w:left w:val="none" w:sz="0" w:space="0" w:color="D9D9E3"/>
          <w:bottom w:val="none" w:sz="0" w:space="0" w:color="D9D9E3"/>
          <w:right w:val="none" w:sz="0" w:space="0" w:color="D9D9E3"/>
          <w:between w:val="none" w:sz="0" w:space="0" w:color="D9D9E3"/>
        </w:pBdr>
        <w:shd w:val="clear" w:color="auto" w:fill="FFFFFF"/>
        <w:spacing w:after="0" w:line="240" w:lineRule="auto"/>
        <w:ind w:left="0"/>
        <w:rPr>
          <w:rFonts w:ascii="Times New Roman" w:eastAsia="Times New Roman" w:hAnsi="Times New Roman" w:cs="Times New Roman"/>
          <w:b/>
          <w:sz w:val="24"/>
          <w:szCs w:val="24"/>
        </w:rPr>
      </w:pPr>
      <w:r>
        <w:rPr>
          <w:rFonts w:ascii="Times New Roman" w:eastAsia="Times New Roman" w:hAnsi="Times New Roman" w:cs="Times New Roman"/>
          <w:b/>
          <w:sz w:val="24"/>
          <w:szCs w:val="24"/>
        </w:rPr>
        <w:t>ARTÍCULO 4°. SEGUIMIENTO Y ACOMPAÑAMIENTO</w:t>
      </w:r>
      <w:r>
        <w:rPr>
          <w:rFonts w:ascii="Times New Roman" w:eastAsia="Times New Roman" w:hAnsi="Times New Roman" w:cs="Times New Roman"/>
          <w:b/>
          <w:strike/>
          <w:sz w:val="24"/>
          <w:szCs w:val="24"/>
        </w:rPr>
        <w:t>.</w:t>
      </w:r>
      <w:r>
        <w:rPr>
          <w:rFonts w:ascii="Times New Roman" w:eastAsia="Times New Roman" w:hAnsi="Times New Roman" w:cs="Times New Roman"/>
          <w:sz w:val="24"/>
          <w:szCs w:val="24"/>
        </w:rPr>
        <w:t xml:space="preserve"> La Administración Distrital podrá hacer seguimiento y acompañamiento de la atención a las personas mayores que hagan parte de la red de atención y orientación contra el maltrato, la violencia y el abandono, su operatividad y eficacia.</w:t>
      </w:r>
    </w:p>
    <w:p w14:paraId="3AF5C238" w14:textId="77777777" w:rsidR="00B33822" w:rsidRDefault="00072DA4">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b/>
          <w:sz w:val="24"/>
          <w:szCs w:val="24"/>
        </w:rPr>
        <w:t>ARTÍCULO 5°. PARTICIPACIÓN</w:t>
      </w:r>
      <w:r>
        <w:rPr>
          <w:rFonts w:ascii="Times New Roman" w:eastAsia="Times New Roman" w:hAnsi="Times New Roman" w:cs="Times New Roman"/>
          <w:b/>
          <w:strike/>
          <w:sz w:val="24"/>
          <w:szCs w:val="24"/>
        </w:rPr>
        <w:t>.</w:t>
      </w:r>
      <w:r>
        <w:rPr>
          <w:rFonts w:ascii="Times New Roman" w:eastAsia="Times New Roman" w:hAnsi="Times New Roman" w:cs="Times New Roman"/>
          <w:sz w:val="24"/>
          <w:szCs w:val="24"/>
        </w:rPr>
        <w:t xml:space="preserve"> La Administración Distrital definirá cuáles son los requisitos operativos, profesionales, técnicos o asistenciales que se requieran para la creación y funcionamiento de la “Línea de atención y orientación a la persona mayor” y se sugiere que se haga partícipe a las personas mayores como acción de restablecimiento de sus derechos.</w:t>
      </w:r>
    </w:p>
    <w:p w14:paraId="0128B21E" w14:textId="77777777" w:rsidR="00B33822" w:rsidRDefault="00B33822">
      <w:pPr>
        <w:spacing w:after="0" w:line="240" w:lineRule="auto"/>
        <w:ind w:left="0"/>
        <w:rPr>
          <w:rFonts w:ascii="Times New Roman" w:eastAsia="Times New Roman" w:hAnsi="Times New Roman" w:cs="Times New Roman"/>
          <w:b/>
          <w:sz w:val="24"/>
          <w:szCs w:val="24"/>
        </w:rPr>
      </w:pPr>
    </w:p>
    <w:p w14:paraId="1145DF3A" w14:textId="77777777" w:rsidR="00B33822" w:rsidRDefault="00072DA4">
      <w:pPr>
        <w:spacing w:after="0" w:line="240" w:lineRule="auto"/>
        <w:ind w:left="0"/>
        <w:jc w:val="lef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ARTÍCULO 6. VIGENCIA. </w:t>
      </w:r>
      <w:r>
        <w:rPr>
          <w:rFonts w:ascii="Times New Roman" w:eastAsia="Times New Roman" w:hAnsi="Times New Roman" w:cs="Times New Roman"/>
          <w:sz w:val="24"/>
          <w:szCs w:val="24"/>
        </w:rPr>
        <w:t xml:space="preserve">El presente Acuerdo rige a partir de la fecha de su </w:t>
      </w:r>
      <w:hyperlink r:id="rId20">
        <w:r>
          <w:rPr>
            <w:rFonts w:ascii="Times New Roman" w:eastAsia="Times New Roman" w:hAnsi="Times New Roman" w:cs="Times New Roman"/>
            <w:sz w:val="24"/>
            <w:szCs w:val="24"/>
          </w:rPr>
          <w:t>publicación</w:t>
        </w:r>
      </w:hyperlink>
      <w:r>
        <w:rPr>
          <w:rFonts w:ascii="Times New Roman" w:eastAsia="Times New Roman" w:hAnsi="Times New Roman" w:cs="Times New Roman"/>
          <w:sz w:val="24"/>
          <w:szCs w:val="24"/>
        </w:rPr>
        <w:t>.</w:t>
      </w:r>
    </w:p>
    <w:p w14:paraId="40915BA2" w14:textId="77777777" w:rsidR="00B33822" w:rsidRDefault="00B33822">
      <w:pPr>
        <w:spacing w:after="0" w:line="240" w:lineRule="auto"/>
        <w:ind w:left="0"/>
        <w:jc w:val="left"/>
        <w:rPr>
          <w:rFonts w:ascii="Times New Roman" w:eastAsia="Times New Roman" w:hAnsi="Times New Roman" w:cs="Times New Roman"/>
          <w:sz w:val="24"/>
          <w:szCs w:val="24"/>
        </w:rPr>
      </w:pPr>
    </w:p>
    <w:p w14:paraId="23753799" w14:textId="77777777" w:rsidR="00B33822" w:rsidRDefault="00B33822">
      <w:pPr>
        <w:spacing w:after="0" w:line="240" w:lineRule="auto"/>
        <w:ind w:left="0"/>
        <w:jc w:val="center"/>
        <w:rPr>
          <w:rFonts w:ascii="Times New Roman" w:eastAsia="Times New Roman" w:hAnsi="Times New Roman" w:cs="Times New Roman"/>
          <w:sz w:val="24"/>
          <w:szCs w:val="24"/>
        </w:rPr>
      </w:pPr>
    </w:p>
    <w:p w14:paraId="62E2AD5D" w14:textId="77777777" w:rsidR="00B33822" w:rsidRDefault="00B33822">
      <w:pPr>
        <w:spacing w:after="0" w:line="240" w:lineRule="auto"/>
        <w:ind w:left="0"/>
        <w:jc w:val="center"/>
        <w:rPr>
          <w:rFonts w:ascii="Times New Roman" w:eastAsia="Times New Roman" w:hAnsi="Times New Roman" w:cs="Times New Roman"/>
          <w:sz w:val="24"/>
          <w:szCs w:val="24"/>
        </w:rPr>
      </w:pPr>
    </w:p>
    <w:p w14:paraId="2D21BF40" w14:textId="77777777" w:rsidR="00B33822" w:rsidRDefault="00B33822">
      <w:pPr>
        <w:spacing w:after="0" w:line="240" w:lineRule="auto"/>
        <w:ind w:left="720"/>
        <w:rPr>
          <w:rFonts w:ascii="Times New Roman" w:eastAsia="Times New Roman" w:hAnsi="Times New Roman" w:cs="Times New Roman"/>
          <w:b/>
          <w:sz w:val="20"/>
          <w:szCs w:val="20"/>
        </w:rPr>
      </w:pPr>
    </w:p>
    <w:p w14:paraId="02B2B466" w14:textId="77777777" w:rsidR="00B33822" w:rsidRDefault="00B33822">
      <w:pPr>
        <w:spacing w:after="0" w:line="240" w:lineRule="auto"/>
        <w:ind w:left="720"/>
        <w:jc w:val="center"/>
        <w:rPr>
          <w:rFonts w:ascii="Times New Roman" w:eastAsia="Times New Roman" w:hAnsi="Times New Roman" w:cs="Times New Roman"/>
          <w:b/>
          <w:sz w:val="20"/>
          <w:szCs w:val="20"/>
        </w:rPr>
      </w:pPr>
    </w:p>
    <w:p w14:paraId="1CBF5EBC" w14:textId="77777777" w:rsidR="00B33822" w:rsidRDefault="00B33822">
      <w:pPr>
        <w:spacing w:after="0" w:line="240" w:lineRule="auto"/>
        <w:ind w:left="360"/>
        <w:rPr>
          <w:rFonts w:ascii="Times New Roman" w:eastAsia="Times New Roman" w:hAnsi="Times New Roman" w:cs="Times New Roman"/>
          <w:b/>
          <w:sz w:val="20"/>
          <w:szCs w:val="20"/>
        </w:rPr>
      </w:pPr>
    </w:p>
    <w:p w14:paraId="74A2162E" w14:textId="77777777" w:rsidR="00B33822" w:rsidRDefault="00B33822">
      <w:pPr>
        <w:spacing w:after="0" w:line="240" w:lineRule="auto"/>
        <w:ind w:left="360"/>
        <w:rPr>
          <w:rFonts w:ascii="Times New Roman" w:eastAsia="Times New Roman" w:hAnsi="Times New Roman" w:cs="Times New Roman"/>
          <w:b/>
          <w:sz w:val="20"/>
          <w:szCs w:val="20"/>
        </w:rPr>
      </w:pPr>
    </w:p>
    <w:p w14:paraId="0939E949" w14:textId="77777777" w:rsidR="00B33822" w:rsidRDefault="00B33822">
      <w:pPr>
        <w:spacing w:after="0" w:line="240" w:lineRule="auto"/>
        <w:ind w:left="360"/>
        <w:rPr>
          <w:rFonts w:ascii="Times New Roman" w:eastAsia="Times New Roman" w:hAnsi="Times New Roman" w:cs="Times New Roman"/>
          <w:b/>
          <w:sz w:val="20"/>
          <w:szCs w:val="20"/>
        </w:rPr>
      </w:pPr>
    </w:p>
    <w:p w14:paraId="0DB751B1" w14:textId="77777777" w:rsidR="00B33822" w:rsidRDefault="00B33822">
      <w:pPr>
        <w:spacing w:after="0" w:line="240" w:lineRule="auto"/>
        <w:ind w:left="360"/>
        <w:rPr>
          <w:rFonts w:ascii="Times New Roman" w:eastAsia="Times New Roman" w:hAnsi="Times New Roman" w:cs="Times New Roman"/>
          <w:b/>
          <w:sz w:val="20"/>
          <w:szCs w:val="20"/>
        </w:rPr>
      </w:pPr>
    </w:p>
    <w:p w14:paraId="4CC5A14E" w14:textId="77777777" w:rsidR="00B33822" w:rsidRDefault="00B33822">
      <w:pPr>
        <w:spacing w:after="0" w:line="240" w:lineRule="auto"/>
        <w:ind w:left="360"/>
        <w:rPr>
          <w:rFonts w:ascii="Times New Roman" w:eastAsia="Times New Roman" w:hAnsi="Times New Roman" w:cs="Times New Roman"/>
          <w:b/>
          <w:sz w:val="20"/>
          <w:szCs w:val="20"/>
        </w:rPr>
      </w:pPr>
    </w:p>
    <w:p w14:paraId="54CA1B68" w14:textId="77777777" w:rsidR="00B33822" w:rsidRDefault="00B33822">
      <w:pPr>
        <w:spacing w:after="0" w:line="240" w:lineRule="auto"/>
        <w:ind w:left="360"/>
        <w:rPr>
          <w:rFonts w:ascii="Times New Roman" w:eastAsia="Times New Roman" w:hAnsi="Times New Roman" w:cs="Times New Roman"/>
          <w:b/>
          <w:sz w:val="20"/>
          <w:szCs w:val="20"/>
        </w:rPr>
      </w:pPr>
    </w:p>
    <w:p w14:paraId="688A3819" w14:textId="77777777" w:rsidR="00B33822" w:rsidRDefault="00B33822">
      <w:pPr>
        <w:spacing w:after="0" w:line="240" w:lineRule="auto"/>
        <w:ind w:left="360"/>
        <w:rPr>
          <w:rFonts w:ascii="Times New Roman" w:eastAsia="Times New Roman" w:hAnsi="Times New Roman" w:cs="Times New Roman"/>
          <w:b/>
          <w:sz w:val="20"/>
          <w:szCs w:val="20"/>
        </w:rPr>
      </w:pPr>
    </w:p>
    <w:p w14:paraId="199716B0" w14:textId="77777777" w:rsidR="00B33822" w:rsidRDefault="00B33822">
      <w:pPr>
        <w:spacing w:after="0" w:line="240" w:lineRule="auto"/>
        <w:ind w:left="360"/>
        <w:rPr>
          <w:rFonts w:ascii="Times New Roman" w:eastAsia="Times New Roman" w:hAnsi="Times New Roman" w:cs="Times New Roman"/>
          <w:b/>
          <w:sz w:val="20"/>
          <w:szCs w:val="20"/>
        </w:rPr>
      </w:pPr>
    </w:p>
    <w:p w14:paraId="544E1E3A" w14:textId="77777777" w:rsidR="00B33822" w:rsidRDefault="00B33822">
      <w:pPr>
        <w:spacing w:after="0" w:line="240" w:lineRule="auto"/>
        <w:ind w:left="360"/>
        <w:rPr>
          <w:rFonts w:ascii="Times New Roman" w:eastAsia="Times New Roman" w:hAnsi="Times New Roman" w:cs="Times New Roman"/>
          <w:b/>
          <w:sz w:val="20"/>
          <w:szCs w:val="20"/>
        </w:rPr>
      </w:pPr>
    </w:p>
    <w:p w14:paraId="53EA6B10" w14:textId="77777777" w:rsidR="00B33822" w:rsidRDefault="00B33822">
      <w:pPr>
        <w:spacing w:after="0" w:line="240" w:lineRule="auto"/>
        <w:ind w:firstLine="357"/>
        <w:rPr>
          <w:rFonts w:ascii="Times New Roman" w:eastAsia="Times New Roman" w:hAnsi="Times New Roman" w:cs="Times New Roman"/>
          <w:sz w:val="20"/>
          <w:szCs w:val="20"/>
        </w:rPr>
      </w:pPr>
    </w:p>
    <w:sectPr w:rsidR="00B33822">
      <w:headerReference w:type="default" r:id="rId21"/>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054C6" w14:textId="77777777" w:rsidR="00072DA4" w:rsidRDefault="00072DA4">
      <w:pPr>
        <w:spacing w:after="0" w:line="240" w:lineRule="auto"/>
      </w:pPr>
      <w:r>
        <w:separator/>
      </w:r>
    </w:p>
  </w:endnote>
  <w:endnote w:type="continuationSeparator" w:id="0">
    <w:p w14:paraId="032C3AEF" w14:textId="77777777" w:rsidR="00072DA4" w:rsidRDefault="00072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FA50E" w14:textId="77777777" w:rsidR="00072DA4" w:rsidRDefault="00072DA4">
      <w:pPr>
        <w:spacing w:after="0" w:line="240" w:lineRule="auto"/>
      </w:pPr>
      <w:r>
        <w:separator/>
      </w:r>
    </w:p>
  </w:footnote>
  <w:footnote w:type="continuationSeparator" w:id="0">
    <w:p w14:paraId="46DE388A" w14:textId="77777777" w:rsidR="00072DA4" w:rsidRDefault="00072DA4">
      <w:pPr>
        <w:spacing w:after="0" w:line="240" w:lineRule="auto"/>
      </w:pPr>
      <w:r>
        <w:continuationSeparator/>
      </w:r>
    </w:p>
  </w:footnote>
  <w:footnote w:id="1">
    <w:p w14:paraId="1C0ADC59" w14:textId="77777777" w:rsidR="00B33822" w:rsidRDefault="00072DA4">
      <w:pPr>
        <w:spacing w:after="0" w:line="240" w:lineRule="auto"/>
        <w:ind w:left="0"/>
        <w:jc w:val="left"/>
        <w:rPr>
          <w:sz w:val="16"/>
          <w:szCs w:val="16"/>
        </w:rPr>
      </w:pPr>
      <w:r>
        <w:rPr>
          <w:vertAlign w:val="superscript"/>
        </w:rPr>
        <w:footnoteRef/>
      </w:r>
      <w:r>
        <w:rPr>
          <w:sz w:val="16"/>
          <w:szCs w:val="16"/>
        </w:rPr>
        <w:t xml:space="preserve"> </w:t>
      </w:r>
      <w:hyperlink r:id="rId1">
        <w:r>
          <w:rPr>
            <w:sz w:val="16"/>
            <w:szCs w:val="16"/>
            <w:u w:val="single"/>
          </w:rPr>
          <w:t>Tratados internacionales aplicados al adulto mayor (1library.co)</w:t>
        </w:r>
      </w:hyperlink>
    </w:p>
  </w:footnote>
  <w:footnote w:id="2">
    <w:p w14:paraId="67B40BD6" w14:textId="77777777" w:rsidR="00B33822" w:rsidRPr="00A817D5" w:rsidRDefault="00072DA4">
      <w:pPr>
        <w:spacing w:after="0" w:line="240" w:lineRule="auto"/>
        <w:ind w:left="0"/>
        <w:jc w:val="left"/>
        <w:rPr>
          <w:rFonts w:ascii="Times New Roman" w:eastAsia="Arial" w:hAnsi="Times New Roman" w:cs="Times New Roman"/>
          <w:color w:val="FF0000"/>
          <w:sz w:val="20"/>
          <w:szCs w:val="20"/>
        </w:rPr>
      </w:pPr>
      <w:r>
        <w:rPr>
          <w:vertAlign w:val="superscript"/>
        </w:rPr>
        <w:footnoteRef/>
      </w:r>
      <w:r>
        <w:rPr>
          <w:rFonts w:ascii="Arial" w:eastAsia="Arial" w:hAnsi="Arial" w:cs="Arial"/>
          <w:sz w:val="24"/>
          <w:szCs w:val="24"/>
        </w:rPr>
        <w:t xml:space="preserve"> </w:t>
      </w:r>
      <w:hyperlink r:id="rId2">
        <w:r w:rsidRPr="00A817D5">
          <w:rPr>
            <w:rFonts w:ascii="Times New Roman" w:eastAsia="Arial" w:hAnsi="Times New Roman" w:cs="Times New Roman"/>
            <w:color w:val="0000FF"/>
            <w:sz w:val="20"/>
            <w:szCs w:val="20"/>
            <w:u w:val="single"/>
          </w:rPr>
          <w:t>Ley simple: Protección de los derechos humanos de los adultos mayores | Argentina.gob.ar</w:t>
        </w:r>
      </w:hyperlink>
    </w:p>
    <w:p w14:paraId="0136F1DA" w14:textId="77777777" w:rsidR="00B33822" w:rsidRPr="00A817D5" w:rsidRDefault="00B33822">
      <w:pPr>
        <w:spacing w:after="0" w:line="240" w:lineRule="auto"/>
        <w:ind w:left="0"/>
        <w:jc w:val="left"/>
        <w:rPr>
          <w:rFonts w:ascii="Times New Roman" w:hAnsi="Times New Roman" w:cs="Times New Roman"/>
          <w:sz w:val="20"/>
          <w:szCs w:val="20"/>
        </w:rPr>
      </w:pPr>
    </w:p>
  </w:footnote>
  <w:footnote w:id="3">
    <w:p w14:paraId="33E8FB42" w14:textId="77777777" w:rsidR="00B33822" w:rsidRPr="00A817D5" w:rsidRDefault="00072DA4">
      <w:pPr>
        <w:spacing w:after="0" w:line="240" w:lineRule="auto"/>
        <w:ind w:left="0"/>
        <w:jc w:val="left"/>
        <w:rPr>
          <w:rFonts w:ascii="Times New Roman" w:eastAsia="Arial" w:hAnsi="Times New Roman" w:cs="Times New Roman"/>
          <w:color w:val="FF0000"/>
          <w:sz w:val="20"/>
          <w:szCs w:val="20"/>
        </w:rPr>
      </w:pPr>
      <w:r w:rsidRPr="00A817D5">
        <w:rPr>
          <w:rFonts w:ascii="Times New Roman" w:hAnsi="Times New Roman" w:cs="Times New Roman"/>
          <w:sz w:val="20"/>
          <w:szCs w:val="20"/>
          <w:vertAlign w:val="superscript"/>
        </w:rPr>
        <w:footnoteRef/>
      </w:r>
      <w:r w:rsidRPr="00A817D5">
        <w:rPr>
          <w:rFonts w:ascii="Times New Roman" w:eastAsia="Arial" w:hAnsi="Times New Roman" w:cs="Times New Roman"/>
          <w:sz w:val="20"/>
          <w:szCs w:val="20"/>
        </w:rPr>
        <w:t xml:space="preserve"> </w:t>
      </w:r>
      <w:hyperlink r:id="rId3">
        <w:r w:rsidRPr="00A817D5">
          <w:rPr>
            <w:rFonts w:ascii="Times New Roman" w:eastAsia="Arial" w:hAnsi="Times New Roman" w:cs="Times New Roman"/>
            <w:color w:val="0000FF"/>
            <w:sz w:val="20"/>
            <w:szCs w:val="20"/>
            <w:u w:val="single"/>
          </w:rPr>
          <w:t>Ley simple: Protección de los derechos humanos de los adultos mayores | Argentina.gob.ar</w:t>
        </w:r>
      </w:hyperlink>
    </w:p>
    <w:p w14:paraId="0BFBDC43" w14:textId="77777777" w:rsidR="00B33822" w:rsidRDefault="00B33822">
      <w:pPr>
        <w:spacing w:after="0" w:line="240" w:lineRule="auto"/>
        <w:ind w:left="0"/>
        <w:jc w:val="left"/>
        <w:rPr>
          <w:sz w:val="20"/>
          <w:szCs w:val="20"/>
        </w:rPr>
      </w:pPr>
    </w:p>
  </w:footnote>
  <w:footnote w:id="4">
    <w:p w14:paraId="583DA7AE" w14:textId="77777777" w:rsidR="00B33822" w:rsidRDefault="00072DA4">
      <w:pPr>
        <w:spacing w:after="0" w:line="240" w:lineRule="auto"/>
        <w:ind w:left="0"/>
        <w:jc w:val="left"/>
        <w:rPr>
          <w:sz w:val="20"/>
          <w:szCs w:val="20"/>
        </w:rPr>
      </w:pPr>
      <w:r>
        <w:rPr>
          <w:vertAlign w:val="superscript"/>
        </w:rPr>
        <w:footnoteRef/>
      </w:r>
      <w:r>
        <w:rPr>
          <w:sz w:val="20"/>
          <w:szCs w:val="20"/>
        </w:rPr>
        <w:t xml:space="preserve"> </w:t>
      </w:r>
    </w:p>
  </w:footnote>
  <w:footnote w:id="5">
    <w:p w14:paraId="50569C48" w14:textId="77777777" w:rsidR="00B33822" w:rsidRPr="00A817D5" w:rsidRDefault="00072DA4">
      <w:pPr>
        <w:spacing w:after="0" w:line="240" w:lineRule="auto"/>
        <w:ind w:left="0"/>
        <w:jc w:val="left"/>
        <w:rPr>
          <w:rFonts w:ascii="Times New Roman" w:eastAsia="Arial" w:hAnsi="Times New Roman" w:cs="Times New Roman"/>
          <w:sz w:val="20"/>
          <w:szCs w:val="20"/>
        </w:rPr>
      </w:pPr>
      <w:r>
        <w:rPr>
          <w:vertAlign w:val="superscript"/>
        </w:rPr>
        <w:footnoteRef/>
      </w:r>
      <w:r>
        <w:rPr>
          <w:rFonts w:ascii="Arial" w:eastAsia="Arial" w:hAnsi="Arial" w:cs="Arial"/>
        </w:rPr>
        <w:t xml:space="preserve"> </w:t>
      </w:r>
      <w:hyperlink r:id="rId4">
        <w:r w:rsidRPr="00A817D5">
          <w:rPr>
            <w:rFonts w:ascii="Times New Roman" w:eastAsia="Arial" w:hAnsi="Times New Roman" w:cs="Times New Roman"/>
            <w:color w:val="0000FF"/>
            <w:sz w:val="20"/>
            <w:szCs w:val="20"/>
            <w:u w:val="single"/>
          </w:rPr>
          <w:t>Minsalud celebra ratificación de la Convención Interamericana para la Protección de las Personas Mayores</w:t>
        </w:r>
      </w:hyperlink>
    </w:p>
    <w:p w14:paraId="25B66521" w14:textId="77777777" w:rsidR="00B33822" w:rsidRDefault="00B33822">
      <w:pPr>
        <w:spacing w:after="0" w:line="240" w:lineRule="auto"/>
        <w:ind w:left="0"/>
        <w:jc w:val="left"/>
        <w:rPr>
          <w:sz w:val="20"/>
          <w:szCs w:val="20"/>
        </w:rPr>
      </w:pPr>
    </w:p>
  </w:footnote>
  <w:footnote w:id="6">
    <w:p w14:paraId="615256D6" w14:textId="77777777" w:rsidR="00B33822" w:rsidRPr="00A817D5" w:rsidRDefault="00072DA4">
      <w:pPr>
        <w:spacing w:after="0" w:line="240" w:lineRule="auto"/>
        <w:ind w:left="0"/>
        <w:jc w:val="left"/>
        <w:rPr>
          <w:rFonts w:ascii="Times New Roman" w:eastAsia="Arial" w:hAnsi="Times New Roman" w:cs="Times New Roman"/>
          <w:sz w:val="20"/>
          <w:szCs w:val="20"/>
        </w:rPr>
      </w:pPr>
      <w:r w:rsidRPr="00A817D5">
        <w:rPr>
          <w:rFonts w:ascii="Times New Roman" w:hAnsi="Times New Roman" w:cs="Times New Roman"/>
          <w:sz w:val="20"/>
          <w:szCs w:val="20"/>
          <w:vertAlign w:val="superscript"/>
        </w:rPr>
        <w:footnoteRef/>
      </w:r>
      <w:r w:rsidRPr="00A817D5">
        <w:rPr>
          <w:rFonts w:ascii="Times New Roman" w:eastAsia="Arial" w:hAnsi="Times New Roman" w:cs="Times New Roman"/>
          <w:sz w:val="20"/>
          <w:szCs w:val="20"/>
        </w:rPr>
        <w:t xml:space="preserve"> </w:t>
      </w:r>
      <w:hyperlink r:id="rId5">
        <w:r w:rsidRPr="00A817D5">
          <w:rPr>
            <w:rFonts w:ascii="Times New Roman" w:eastAsia="Arial" w:hAnsi="Times New Roman" w:cs="Times New Roman"/>
            <w:color w:val="0000FF"/>
            <w:sz w:val="20"/>
            <w:szCs w:val="20"/>
            <w:u w:val="single"/>
          </w:rPr>
          <w:t>Derechos Humanos de las Personas Mayores (encolombia.com)</w:t>
        </w:r>
      </w:hyperlink>
    </w:p>
  </w:footnote>
  <w:footnote w:id="7">
    <w:p w14:paraId="2EDA4442" w14:textId="77777777" w:rsidR="00B33822" w:rsidRPr="00A817D5" w:rsidRDefault="00072DA4">
      <w:pPr>
        <w:spacing w:after="0" w:line="240" w:lineRule="auto"/>
        <w:ind w:left="0"/>
        <w:jc w:val="left"/>
        <w:rPr>
          <w:rFonts w:ascii="Times New Roman" w:hAnsi="Times New Roman" w:cs="Times New Roman"/>
          <w:sz w:val="20"/>
          <w:szCs w:val="20"/>
        </w:rPr>
      </w:pPr>
      <w:r w:rsidRPr="00A817D5">
        <w:rPr>
          <w:rFonts w:ascii="Times New Roman" w:hAnsi="Times New Roman" w:cs="Times New Roman"/>
          <w:sz w:val="20"/>
          <w:szCs w:val="20"/>
          <w:vertAlign w:val="superscript"/>
        </w:rPr>
        <w:footnoteRef/>
      </w:r>
      <w:r w:rsidRPr="00A817D5">
        <w:rPr>
          <w:rFonts w:ascii="Times New Roman" w:hAnsi="Times New Roman" w:cs="Times New Roman"/>
          <w:sz w:val="20"/>
          <w:szCs w:val="20"/>
        </w:rPr>
        <w:t xml:space="preserve"> http://www.secretariasenado.gov.co/senado/basedoc/ley_1251_2008.html</w:t>
      </w:r>
    </w:p>
  </w:footnote>
  <w:footnote w:id="8">
    <w:p w14:paraId="06795CC4" w14:textId="77777777" w:rsidR="00B33822" w:rsidRPr="00A817D5" w:rsidRDefault="00072DA4">
      <w:pPr>
        <w:spacing w:after="0" w:line="240" w:lineRule="auto"/>
        <w:ind w:left="0"/>
        <w:jc w:val="left"/>
        <w:rPr>
          <w:rFonts w:ascii="Times New Roman" w:hAnsi="Times New Roman" w:cs="Times New Roman"/>
          <w:sz w:val="20"/>
          <w:szCs w:val="20"/>
        </w:rPr>
      </w:pPr>
      <w:r w:rsidRPr="00A817D5">
        <w:rPr>
          <w:rFonts w:ascii="Times New Roman" w:hAnsi="Times New Roman" w:cs="Times New Roman"/>
          <w:sz w:val="20"/>
          <w:szCs w:val="20"/>
          <w:vertAlign w:val="superscript"/>
        </w:rPr>
        <w:footnoteRef/>
      </w:r>
      <w:r w:rsidRPr="00A817D5">
        <w:rPr>
          <w:rFonts w:ascii="Times New Roman" w:hAnsi="Times New Roman" w:cs="Times New Roman"/>
          <w:sz w:val="20"/>
          <w:szCs w:val="20"/>
        </w:rPr>
        <w:t xml:space="preserve"> http://www.secretariasenado.gov.co/senado/basedoc/ley_1751_2015.html</w:t>
      </w:r>
    </w:p>
  </w:footnote>
  <w:footnote w:id="9">
    <w:p w14:paraId="78E874EF" w14:textId="77777777" w:rsidR="00B33822" w:rsidRDefault="00072DA4">
      <w:pPr>
        <w:spacing w:after="0" w:line="240" w:lineRule="auto"/>
        <w:ind w:left="0"/>
        <w:jc w:val="left"/>
        <w:rPr>
          <w:sz w:val="20"/>
          <w:szCs w:val="20"/>
        </w:rPr>
      </w:pPr>
      <w:r>
        <w:rPr>
          <w:vertAlign w:val="superscript"/>
        </w:rPr>
        <w:footnoteRef/>
      </w:r>
      <w:r>
        <w:rPr>
          <w:sz w:val="20"/>
          <w:szCs w:val="20"/>
        </w:rPr>
        <w:t xml:space="preserve"> https://www.alcaldiabogota.gov.co/sisjur/normas/Norma1.jsp?i=36842</w:t>
      </w:r>
    </w:p>
  </w:footnote>
  <w:footnote w:id="10">
    <w:p w14:paraId="08DAFBB3" w14:textId="77777777" w:rsidR="00B33822" w:rsidRDefault="00072DA4">
      <w:pPr>
        <w:spacing w:after="0" w:line="240" w:lineRule="auto"/>
        <w:ind w:left="0"/>
        <w:jc w:val="left"/>
        <w:rPr>
          <w:sz w:val="20"/>
          <w:szCs w:val="20"/>
        </w:rPr>
      </w:pPr>
      <w:r>
        <w:rPr>
          <w:vertAlign w:val="superscript"/>
        </w:rPr>
        <w:footnoteRef/>
      </w:r>
      <w:r>
        <w:rPr>
          <w:sz w:val="20"/>
          <w:szCs w:val="20"/>
        </w:rPr>
        <w:t>https://www.alcaldiabogota.gov.co/sisjur/normas/Norma1.jsp?i=60596#14</w:t>
      </w:r>
    </w:p>
  </w:footnote>
  <w:footnote w:id="11">
    <w:p w14:paraId="53F6B3B4" w14:textId="77777777" w:rsidR="00B33822" w:rsidRPr="00A817D5" w:rsidRDefault="00072DA4">
      <w:pPr>
        <w:spacing w:after="0" w:line="240" w:lineRule="auto"/>
        <w:ind w:left="0"/>
        <w:jc w:val="left"/>
        <w:rPr>
          <w:rFonts w:ascii="Times New Roman" w:hAnsi="Times New Roman" w:cs="Times New Roman"/>
          <w:sz w:val="20"/>
          <w:szCs w:val="20"/>
        </w:rPr>
      </w:pPr>
      <w:r w:rsidRPr="00A817D5">
        <w:rPr>
          <w:rFonts w:ascii="Times New Roman" w:hAnsi="Times New Roman" w:cs="Times New Roman"/>
          <w:sz w:val="20"/>
          <w:szCs w:val="20"/>
          <w:vertAlign w:val="superscript"/>
        </w:rPr>
        <w:footnoteRef/>
      </w:r>
      <w:r w:rsidRPr="00A817D5">
        <w:rPr>
          <w:rFonts w:ascii="Times New Roman" w:hAnsi="Times New Roman" w:cs="Times New Roman"/>
          <w:sz w:val="20"/>
          <w:szCs w:val="20"/>
        </w:rPr>
        <w:t xml:space="preserve"> </w:t>
      </w:r>
      <w:hyperlink r:id="rId6">
        <w:r w:rsidRPr="00A817D5">
          <w:rPr>
            <w:rFonts w:ascii="Times New Roman" w:hAnsi="Times New Roman" w:cs="Times New Roman"/>
            <w:color w:val="0000FF"/>
            <w:sz w:val="20"/>
            <w:szCs w:val="20"/>
            <w:u w:val="single"/>
          </w:rPr>
          <w:t>Decreto No. 681 de 2022.pdf</w:t>
        </w:r>
      </w:hyperlink>
    </w:p>
  </w:footnote>
  <w:footnote w:id="12">
    <w:p w14:paraId="3A58EAA4" w14:textId="77777777" w:rsidR="00B33822" w:rsidRDefault="00072DA4">
      <w:pPr>
        <w:spacing w:after="0" w:line="240" w:lineRule="auto"/>
        <w:rPr>
          <w:rFonts w:ascii="Times New Roman" w:eastAsia="Times New Roman" w:hAnsi="Times New Roman" w:cs="Times New Roman"/>
          <w:i/>
          <w:sz w:val="20"/>
          <w:szCs w:val="20"/>
        </w:rPr>
      </w:pPr>
      <w:r>
        <w:rPr>
          <w:vertAlign w:val="superscript"/>
        </w:rPr>
        <w:footnoteRef/>
      </w:r>
      <w:r>
        <w:rPr>
          <w:rFonts w:ascii="Times New Roman" w:eastAsia="Times New Roman" w:hAnsi="Times New Roman" w:cs="Times New Roman"/>
          <w:sz w:val="20"/>
          <w:szCs w:val="20"/>
        </w:rPr>
        <w:t xml:space="preserve"> Secretaría de Gobierno (19 de mayo de 2021). </w:t>
      </w:r>
      <w:r>
        <w:rPr>
          <w:rFonts w:ascii="Times New Roman" w:eastAsia="Times New Roman" w:hAnsi="Times New Roman" w:cs="Times New Roman"/>
          <w:i/>
          <w:sz w:val="20"/>
          <w:szCs w:val="20"/>
        </w:rPr>
        <w:t>Comentarios de la Administración Distrital, para primer debate, del proyecto de acuerdo No. 117 de 2021 “Por medio del cual se crea la línea telefónica “Línea Dorada” para la atención exclusiva e intersectorial a las personas mayores en el Distrito Capital  y se dictan otras disposiciones”. Radicado No. 20211702618111,</w:t>
      </w:r>
    </w:p>
  </w:footnote>
  <w:footnote w:id="13">
    <w:p w14:paraId="002E5ECA" w14:textId="77777777" w:rsidR="00B33822" w:rsidRDefault="00072DA4">
      <w:pPr>
        <w:spacing w:after="0" w:line="240" w:lineRule="auto"/>
        <w:rPr>
          <w:sz w:val="20"/>
          <w:szCs w:val="20"/>
        </w:rPr>
      </w:pPr>
      <w:r>
        <w:rPr>
          <w:vertAlign w:val="superscript"/>
        </w:rPr>
        <w:footnoteRef/>
      </w:r>
      <w:r>
        <w:rPr>
          <w:sz w:val="20"/>
          <w:szCs w:val="20"/>
        </w:rPr>
        <w:t xml:space="preserve"> Secretaría Distrital de Seguridad, Convivencia y Justicia (S.F.). </w:t>
      </w:r>
      <w:r>
        <w:rPr>
          <w:i/>
          <w:sz w:val="20"/>
          <w:szCs w:val="20"/>
        </w:rPr>
        <w:t xml:space="preserve">Línea de Emergencias de Bogotá 123. </w:t>
      </w:r>
      <w:r>
        <w:rPr>
          <w:sz w:val="20"/>
          <w:szCs w:val="20"/>
        </w:rPr>
        <w:t>https://scj.gov.co/es/general/l%C3%ADnea-emergencias-bogot%C3%A1-123</w:t>
      </w:r>
    </w:p>
  </w:footnote>
  <w:footnote w:id="14">
    <w:p w14:paraId="0DF70A42" w14:textId="77777777" w:rsidR="00B33822" w:rsidRDefault="00072DA4">
      <w:pPr>
        <w:spacing w:after="0" w:line="240" w:lineRule="auto"/>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Ministerio de Justicia y del Derecho. (30 de enero de 2020). </w:t>
      </w:r>
      <w:r>
        <w:rPr>
          <w:rFonts w:ascii="Times New Roman" w:eastAsia="Times New Roman" w:hAnsi="Times New Roman" w:cs="Times New Roman"/>
          <w:i/>
          <w:sz w:val="20"/>
          <w:szCs w:val="20"/>
        </w:rPr>
        <w:t xml:space="preserve">¿Qué debo hacer si conozco casos de maltrato o abandono de un adulto mayor? </w:t>
      </w:r>
      <w:hyperlink r:id="rId7">
        <w:r>
          <w:rPr>
            <w:rFonts w:ascii="Times New Roman" w:eastAsia="Times New Roman" w:hAnsi="Times New Roman" w:cs="Times New Roman"/>
            <w:color w:val="1155CC"/>
            <w:sz w:val="20"/>
            <w:szCs w:val="20"/>
            <w:u w:val="single"/>
          </w:rPr>
          <w:t>https://www.minjusticia.gov.co/programas-co/LegalApp/Paginas/Que-debo-hacer-si-conozco-casos-de-maltrato-o-abandono-de-un-adulto-mayor.aspx</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86CB" w14:textId="77777777" w:rsidR="00B33822" w:rsidRDefault="00B33822">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bl>
    <w:tblPr>
      <w:tblStyle w:val="a1"/>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4"/>
      <w:gridCol w:w="2233"/>
    </w:tblGrid>
    <w:tr w:rsidR="00B33822" w14:paraId="357214EE" w14:textId="77777777">
      <w:trPr>
        <w:trHeight w:val="454"/>
      </w:trPr>
      <w:tc>
        <w:tcPr>
          <w:tcW w:w="2361" w:type="dxa"/>
          <w:vMerge w:val="restart"/>
        </w:tcPr>
        <w:p w14:paraId="5A76032B" w14:textId="77777777" w:rsidR="00B33822" w:rsidRDefault="00072DA4">
          <w:pPr>
            <w:ind w:firstLine="357"/>
            <w:jc w:val="center"/>
            <w:rPr>
              <w:sz w:val="16"/>
              <w:szCs w:val="16"/>
            </w:rPr>
          </w:pPr>
          <w:r>
            <w:rPr>
              <w:noProof/>
              <w:lang w:val="es-419" w:eastAsia="es-419"/>
            </w:rPr>
            <w:drawing>
              <wp:anchor distT="0" distB="0" distL="0" distR="0" simplePos="0" relativeHeight="251658240" behindDoc="0" locked="0" layoutInCell="1" hidden="0" allowOverlap="1" wp14:anchorId="4955BEA2" wp14:editId="797F19BA">
                <wp:simplePos x="0" y="0"/>
                <wp:positionH relativeFrom="column">
                  <wp:posOffset>362585</wp:posOffset>
                </wp:positionH>
                <wp:positionV relativeFrom="paragraph">
                  <wp:posOffset>48895</wp:posOffset>
                </wp:positionV>
                <wp:extent cx="704850" cy="800100"/>
                <wp:effectExtent l="0" t="0" r="0" b="0"/>
                <wp:wrapSquare wrapText="bothSides" distT="0" distB="0" distL="0" distR="0"/>
                <wp:docPr id="1538972511" name="image1.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10;&#10;Descripción generada automáticamente"/>
                        <pic:cNvPicPr preferRelativeResize="0"/>
                      </pic:nvPicPr>
                      <pic:blipFill>
                        <a:blip r:embed="rId1"/>
                        <a:srcRect/>
                        <a:stretch>
                          <a:fillRect/>
                        </a:stretch>
                      </pic:blipFill>
                      <pic:spPr>
                        <a:xfrm>
                          <a:off x="0" y="0"/>
                          <a:ext cx="704850" cy="800100"/>
                        </a:xfrm>
                        <a:prstGeom prst="rect">
                          <a:avLst/>
                        </a:prstGeom>
                        <a:ln/>
                      </pic:spPr>
                    </pic:pic>
                  </a:graphicData>
                </a:graphic>
              </wp:anchor>
            </w:drawing>
          </w:r>
        </w:p>
        <w:p w14:paraId="7C647856" w14:textId="77777777" w:rsidR="00B33822" w:rsidRDefault="00B33822">
          <w:pPr>
            <w:ind w:firstLine="357"/>
            <w:jc w:val="center"/>
            <w:rPr>
              <w:sz w:val="16"/>
              <w:szCs w:val="16"/>
            </w:rPr>
          </w:pPr>
        </w:p>
        <w:p w14:paraId="356974C7" w14:textId="77777777" w:rsidR="00B33822" w:rsidRDefault="00B33822">
          <w:pPr>
            <w:ind w:firstLine="357"/>
            <w:jc w:val="center"/>
            <w:rPr>
              <w:sz w:val="16"/>
              <w:szCs w:val="16"/>
            </w:rPr>
          </w:pPr>
        </w:p>
        <w:p w14:paraId="29B1C199" w14:textId="77777777" w:rsidR="00B33822" w:rsidRDefault="00B33822">
          <w:pPr>
            <w:ind w:firstLine="357"/>
            <w:jc w:val="center"/>
            <w:rPr>
              <w:sz w:val="16"/>
              <w:szCs w:val="16"/>
            </w:rPr>
          </w:pPr>
        </w:p>
      </w:tc>
      <w:tc>
        <w:tcPr>
          <w:tcW w:w="4234" w:type="dxa"/>
        </w:tcPr>
        <w:p w14:paraId="235CD31D" w14:textId="77777777" w:rsidR="00B33822" w:rsidRDefault="00072DA4">
          <w:pPr>
            <w:ind w:firstLine="357"/>
            <w:jc w:val="center"/>
            <w:rPr>
              <w:rFonts w:ascii="Arial" w:eastAsia="Arial" w:hAnsi="Arial" w:cs="Arial"/>
              <w:sz w:val="18"/>
              <w:szCs w:val="18"/>
            </w:rPr>
          </w:pPr>
          <w:r>
            <w:rPr>
              <w:rFonts w:ascii="Arial" w:eastAsia="Arial" w:hAnsi="Arial" w:cs="Arial"/>
              <w:sz w:val="18"/>
              <w:szCs w:val="18"/>
            </w:rPr>
            <w:t>PROCESO GESTIÓN NORMATIVA</w:t>
          </w:r>
        </w:p>
      </w:tc>
      <w:tc>
        <w:tcPr>
          <w:tcW w:w="2233" w:type="dxa"/>
        </w:tcPr>
        <w:p w14:paraId="3B1BD2C8" w14:textId="77777777" w:rsidR="00B33822" w:rsidRDefault="00072DA4">
          <w:pPr>
            <w:ind w:firstLine="357"/>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B33822" w14:paraId="45DFB31D" w14:textId="77777777">
      <w:trPr>
        <w:trHeight w:val="454"/>
      </w:trPr>
      <w:tc>
        <w:tcPr>
          <w:tcW w:w="2361" w:type="dxa"/>
          <w:vMerge/>
        </w:tcPr>
        <w:p w14:paraId="7499B2DE" w14:textId="77777777" w:rsidR="00B33822" w:rsidRDefault="00B33822">
          <w:pPr>
            <w:widowControl w:val="0"/>
            <w:pBdr>
              <w:top w:val="nil"/>
              <w:left w:val="nil"/>
              <w:bottom w:val="nil"/>
              <w:right w:val="nil"/>
              <w:between w:val="nil"/>
            </w:pBdr>
            <w:spacing w:line="276" w:lineRule="auto"/>
            <w:rPr>
              <w:rFonts w:ascii="Arial" w:eastAsia="Arial" w:hAnsi="Arial" w:cs="Arial"/>
              <w:sz w:val="16"/>
              <w:szCs w:val="16"/>
            </w:rPr>
          </w:pPr>
        </w:p>
      </w:tc>
      <w:tc>
        <w:tcPr>
          <w:tcW w:w="4234" w:type="dxa"/>
          <w:vMerge w:val="restart"/>
        </w:tcPr>
        <w:p w14:paraId="476FE8A2" w14:textId="77777777" w:rsidR="00B33822" w:rsidRDefault="00072DA4">
          <w:pPr>
            <w:ind w:firstLine="357"/>
            <w:jc w:val="center"/>
            <w:rPr>
              <w:rFonts w:ascii="Arial" w:eastAsia="Arial" w:hAnsi="Arial" w:cs="Arial"/>
            </w:rPr>
          </w:pPr>
          <w:r>
            <w:rPr>
              <w:rFonts w:ascii="Arial" w:eastAsia="Arial" w:hAnsi="Arial" w:cs="Arial"/>
            </w:rPr>
            <w:t>PRESENTACIÓN PONENCIAS</w:t>
          </w:r>
        </w:p>
      </w:tc>
      <w:tc>
        <w:tcPr>
          <w:tcW w:w="2233" w:type="dxa"/>
        </w:tcPr>
        <w:p w14:paraId="2B3C5D9A" w14:textId="77777777" w:rsidR="00B33822" w:rsidRDefault="00072DA4">
          <w:pPr>
            <w:ind w:firstLine="357"/>
            <w:rPr>
              <w:rFonts w:ascii="Arial" w:eastAsia="Arial" w:hAnsi="Arial" w:cs="Arial"/>
              <w:sz w:val="16"/>
              <w:szCs w:val="16"/>
            </w:rPr>
          </w:pPr>
          <w:r>
            <w:rPr>
              <w:rFonts w:ascii="Arial" w:eastAsia="Arial" w:hAnsi="Arial" w:cs="Arial"/>
              <w:sz w:val="16"/>
              <w:szCs w:val="16"/>
            </w:rPr>
            <w:t>VERSIÓN:    01</w:t>
          </w:r>
        </w:p>
      </w:tc>
    </w:tr>
    <w:tr w:rsidR="00B33822" w14:paraId="7F5A2EB6" w14:textId="77777777">
      <w:trPr>
        <w:trHeight w:val="454"/>
      </w:trPr>
      <w:tc>
        <w:tcPr>
          <w:tcW w:w="2361" w:type="dxa"/>
          <w:vMerge/>
        </w:tcPr>
        <w:p w14:paraId="31E73508" w14:textId="77777777" w:rsidR="00B33822" w:rsidRDefault="00B33822">
          <w:pPr>
            <w:widowControl w:val="0"/>
            <w:pBdr>
              <w:top w:val="nil"/>
              <w:left w:val="nil"/>
              <w:bottom w:val="nil"/>
              <w:right w:val="nil"/>
              <w:between w:val="nil"/>
            </w:pBdr>
            <w:spacing w:line="276" w:lineRule="auto"/>
            <w:rPr>
              <w:rFonts w:ascii="Arial" w:eastAsia="Arial" w:hAnsi="Arial" w:cs="Arial"/>
              <w:sz w:val="16"/>
              <w:szCs w:val="16"/>
            </w:rPr>
          </w:pPr>
        </w:p>
      </w:tc>
      <w:tc>
        <w:tcPr>
          <w:tcW w:w="4234" w:type="dxa"/>
          <w:vMerge/>
        </w:tcPr>
        <w:p w14:paraId="0DEA310D" w14:textId="77777777" w:rsidR="00B33822" w:rsidRDefault="00B33822">
          <w:pPr>
            <w:widowControl w:val="0"/>
            <w:pBdr>
              <w:top w:val="nil"/>
              <w:left w:val="nil"/>
              <w:bottom w:val="nil"/>
              <w:right w:val="nil"/>
              <w:between w:val="nil"/>
            </w:pBdr>
            <w:spacing w:line="276" w:lineRule="auto"/>
            <w:rPr>
              <w:rFonts w:ascii="Arial" w:eastAsia="Arial" w:hAnsi="Arial" w:cs="Arial"/>
              <w:sz w:val="16"/>
              <w:szCs w:val="16"/>
            </w:rPr>
          </w:pPr>
        </w:p>
      </w:tc>
      <w:tc>
        <w:tcPr>
          <w:tcW w:w="2233" w:type="dxa"/>
        </w:tcPr>
        <w:p w14:paraId="6C687B97" w14:textId="77777777" w:rsidR="00B33822" w:rsidRDefault="00072DA4">
          <w:pPr>
            <w:ind w:firstLine="357"/>
            <w:rPr>
              <w:rFonts w:ascii="Arial" w:eastAsia="Arial" w:hAnsi="Arial" w:cs="Arial"/>
              <w:sz w:val="16"/>
              <w:szCs w:val="16"/>
            </w:rPr>
          </w:pPr>
          <w:r>
            <w:rPr>
              <w:rFonts w:ascii="Arial" w:eastAsia="Arial" w:hAnsi="Arial" w:cs="Arial"/>
              <w:sz w:val="16"/>
              <w:szCs w:val="16"/>
            </w:rPr>
            <w:t>FECHA: 14-11-2019</w:t>
          </w:r>
        </w:p>
      </w:tc>
    </w:tr>
  </w:tbl>
  <w:p w14:paraId="41BEFAAC" w14:textId="77777777" w:rsidR="00B33822" w:rsidRDefault="00B33822">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239E"/>
    <w:multiLevelType w:val="multilevel"/>
    <w:tmpl w:val="56FC536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0D759B"/>
    <w:multiLevelType w:val="multilevel"/>
    <w:tmpl w:val="3B8A76E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0194C95"/>
    <w:multiLevelType w:val="multilevel"/>
    <w:tmpl w:val="63E0237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BA52D6"/>
    <w:multiLevelType w:val="multilevel"/>
    <w:tmpl w:val="29867A7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2456E2D"/>
    <w:multiLevelType w:val="multilevel"/>
    <w:tmpl w:val="1C38FD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2C3F1A7D"/>
    <w:multiLevelType w:val="multilevel"/>
    <w:tmpl w:val="AD563CE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C3C091F"/>
    <w:multiLevelType w:val="multilevel"/>
    <w:tmpl w:val="47BEBED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3F7B0FB3"/>
    <w:multiLevelType w:val="multilevel"/>
    <w:tmpl w:val="E5104E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6AF644F"/>
    <w:multiLevelType w:val="multilevel"/>
    <w:tmpl w:val="065A2AF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7BA6FCA"/>
    <w:multiLevelType w:val="multilevel"/>
    <w:tmpl w:val="E19A8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A6A052D"/>
    <w:multiLevelType w:val="multilevel"/>
    <w:tmpl w:val="7276A42A"/>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FB3BD8"/>
    <w:multiLevelType w:val="multilevel"/>
    <w:tmpl w:val="07D6FC6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B3E5D31"/>
    <w:multiLevelType w:val="multilevel"/>
    <w:tmpl w:val="CD048B1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7A2021B"/>
    <w:multiLevelType w:val="multilevel"/>
    <w:tmpl w:val="F3E07C0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F1C5F66"/>
    <w:multiLevelType w:val="multilevel"/>
    <w:tmpl w:val="51B29382"/>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5" w15:restartNumberingAfterBreak="0">
    <w:nsid w:val="79877B0C"/>
    <w:multiLevelType w:val="multilevel"/>
    <w:tmpl w:val="9D809E4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2"/>
  </w:num>
  <w:num w:numId="3">
    <w:abstractNumId w:val="1"/>
  </w:num>
  <w:num w:numId="4">
    <w:abstractNumId w:val="7"/>
  </w:num>
  <w:num w:numId="5">
    <w:abstractNumId w:val="4"/>
  </w:num>
  <w:num w:numId="6">
    <w:abstractNumId w:val="9"/>
  </w:num>
  <w:num w:numId="7">
    <w:abstractNumId w:val="11"/>
  </w:num>
  <w:num w:numId="8">
    <w:abstractNumId w:val="14"/>
  </w:num>
  <w:num w:numId="9">
    <w:abstractNumId w:val="8"/>
  </w:num>
  <w:num w:numId="10">
    <w:abstractNumId w:val="3"/>
  </w:num>
  <w:num w:numId="11">
    <w:abstractNumId w:val="10"/>
  </w:num>
  <w:num w:numId="12">
    <w:abstractNumId w:val="5"/>
  </w:num>
  <w:num w:numId="13">
    <w:abstractNumId w:val="0"/>
  </w:num>
  <w:num w:numId="14">
    <w:abstractNumId w:val="6"/>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822"/>
    <w:rsid w:val="00072DA4"/>
    <w:rsid w:val="0025600B"/>
    <w:rsid w:val="00531BF0"/>
    <w:rsid w:val="00924E73"/>
    <w:rsid w:val="00A27C80"/>
    <w:rsid w:val="00A817D5"/>
    <w:rsid w:val="00AF2F98"/>
    <w:rsid w:val="00B33822"/>
    <w:rsid w:val="00C965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DBD5B"/>
  <w15:docId w15:val="{6411CB83-9491-1C4E-B154-E2F6C534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MX" w:bidi="ar-SA"/>
      </w:rPr>
    </w:rPrDefault>
    <w:pPrDefault>
      <w:pPr>
        <w:spacing w:after="160" w:line="259" w:lineRule="auto"/>
        <w:ind w:left="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F7F"/>
    <w:rPr>
      <w:lang w:val="es-CO"/>
    </w:rPr>
  </w:style>
  <w:style w:type="paragraph" w:styleId="Ttulo1">
    <w:name w:val="heading 1"/>
    <w:basedOn w:val="Normal"/>
    <w:next w:val="Normal"/>
    <w:link w:val="Ttulo1Car"/>
    <w:uiPriority w:val="9"/>
    <w:qFormat/>
    <w:rsid w:val="002D0F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2D0F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2D0F7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2D0F7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2D0F7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D0F7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D0F7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D0F7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D0F7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2D0F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2D0F7F"/>
    <w:rPr>
      <w:rFonts w:asciiTheme="majorHAnsi" w:eastAsiaTheme="majorEastAsia" w:hAnsiTheme="majorHAnsi" w:cstheme="majorBidi"/>
      <w:color w:val="2F5496" w:themeColor="accent1" w:themeShade="BF"/>
      <w:sz w:val="40"/>
      <w:szCs w:val="40"/>
      <w:lang w:val="es-CO"/>
    </w:rPr>
  </w:style>
  <w:style w:type="character" w:customStyle="1" w:styleId="Ttulo2Car">
    <w:name w:val="Título 2 Car"/>
    <w:basedOn w:val="Fuentedeprrafopredeter"/>
    <w:link w:val="Ttulo2"/>
    <w:uiPriority w:val="9"/>
    <w:rsid w:val="002D0F7F"/>
    <w:rPr>
      <w:rFonts w:asciiTheme="majorHAnsi" w:eastAsiaTheme="majorEastAsia" w:hAnsiTheme="majorHAnsi" w:cstheme="majorBidi"/>
      <w:color w:val="2F5496" w:themeColor="accent1" w:themeShade="BF"/>
      <w:sz w:val="32"/>
      <w:szCs w:val="32"/>
      <w:lang w:val="es-CO"/>
    </w:rPr>
  </w:style>
  <w:style w:type="character" w:customStyle="1" w:styleId="Ttulo3Car">
    <w:name w:val="Título 3 Car"/>
    <w:basedOn w:val="Fuentedeprrafopredeter"/>
    <w:link w:val="Ttulo3"/>
    <w:uiPriority w:val="9"/>
    <w:semiHidden/>
    <w:rsid w:val="002D0F7F"/>
    <w:rPr>
      <w:rFonts w:eastAsiaTheme="majorEastAsia" w:cstheme="majorBidi"/>
      <w:color w:val="2F5496" w:themeColor="accent1" w:themeShade="BF"/>
      <w:sz w:val="28"/>
      <w:szCs w:val="28"/>
      <w:lang w:val="es-CO"/>
    </w:rPr>
  </w:style>
  <w:style w:type="character" w:customStyle="1" w:styleId="Ttulo4Car">
    <w:name w:val="Título 4 Car"/>
    <w:basedOn w:val="Fuentedeprrafopredeter"/>
    <w:link w:val="Ttulo4"/>
    <w:uiPriority w:val="9"/>
    <w:rsid w:val="002D0F7F"/>
    <w:rPr>
      <w:rFonts w:eastAsiaTheme="majorEastAsia" w:cstheme="majorBidi"/>
      <w:i/>
      <w:iCs/>
      <w:color w:val="2F5496" w:themeColor="accent1" w:themeShade="BF"/>
      <w:lang w:val="es-CO"/>
    </w:rPr>
  </w:style>
  <w:style w:type="character" w:customStyle="1" w:styleId="Ttulo5Car">
    <w:name w:val="Título 5 Car"/>
    <w:basedOn w:val="Fuentedeprrafopredeter"/>
    <w:link w:val="Ttulo5"/>
    <w:uiPriority w:val="9"/>
    <w:semiHidden/>
    <w:rsid w:val="002D0F7F"/>
    <w:rPr>
      <w:rFonts w:eastAsiaTheme="majorEastAsia" w:cstheme="majorBidi"/>
      <w:color w:val="2F5496" w:themeColor="accent1" w:themeShade="BF"/>
      <w:lang w:val="es-CO"/>
    </w:rPr>
  </w:style>
  <w:style w:type="character" w:customStyle="1" w:styleId="Ttulo6Car">
    <w:name w:val="Título 6 Car"/>
    <w:basedOn w:val="Fuentedeprrafopredeter"/>
    <w:link w:val="Ttulo6"/>
    <w:uiPriority w:val="9"/>
    <w:semiHidden/>
    <w:rsid w:val="002D0F7F"/>
    <w:rPr>
      <w:rFonts w:eastAsiaTheme="majorEastAsia" w:cstheme="majorBidi"/>
      <w:i/>
      <w:iCs/>
      <w:color w:val="595959" w:themeColor="text1" w:themeTint="A6"/>
      <w:lang w:val="es-CO"/>
    </w:rPr>
  </w:style>
  <w:style w:type="character" w:customStyle="1" w:styleId="Ttulo7Car">
    <w:name w:val="Título 7 Car"/>
    <w:basedOn w:val="Fuentedeprrafopredeter"/>
    <w:link w:val="Ttulo7"/>
    <w:uiPriority w:val="9"/>
    <w:semiHidden/>
    <w:rsid w:val="002D0F7F"/>
    <w:rPr>
      <w:rFonts w:eastAsiaTheme="majorEastAsia" w:cstheme="majorBidi"/>
      <w:color w:val="595959" w:themeColor="text1" w:themeTint="A6"/>
      <w:lang w:val="es-CO"/>
    </w:rPr>
  </w:style>
  <w:style w:type="character" w:customStyle="1" w:styleId="Ttulo8Car">
    <w:name w:val="Título 8 Car"/>
    <w:basedOn w:val="Fuentedeprrafopredeter"/>
    <w:link w:val="Ttulo8"/>
    <w:uiPriority w:val="9"/>
    <w:semiHidden/>
    <w:rsid w:val="002D0F7F"/>
    <w:rPr>
      <w:rFonts w:eastAsiaTheme="majorEastAsia" w:cstheme="majorBidi"/>
      <w:i/>
      <w:iCs/>
      <w:color w:val="272727" w:themeColor="text1" w:themeTint="D8"/>
      <w:lang w:val="es-CO"/>
    </w:rPr>
  </w:style>
  <w:style w:type="character" w:customStyle="1" w:styleId="Ttulo9Car">
    <w:name w:val="Título 9 Car"/>
    <w:basedOn w:val="Fuentedeprrafopredeter"/>
    <w:link w:val="Ttulo9"/>
    <w:uiPriority w:val="9"/>
    <w:semiHidden/>
    <w:rsid w:val="002D0F7F"/>
    <w:rPr>
      <w:rFonts w:eastAsiaTheme="majorEastAsia" w:cstheme="majorBidi"/>
      <w:color w:val="272727" w:themeColor="text1" w:themeTint="D8"/>
      <w:lang w:val="es-CO"/>
    </w:rPr>
  </w:style>
  <w:style w:type="character" w:customStyle="1" w:styleId="TtuloCar">
    <w:name w:val="Título Car"/>
    <w:basedOn w:val="Fuentedeprrafopredeter"/>
    <w:link w:val="Ttulo"/>
    <w:uiPriority w:val="10"/>
    <w:rsid w:val="002D0F7F"/>
    <w:rPr>
      <w:rFonts w:asciiTheme="majorHAnsi" w:eastAsiaTheme="majorEastAsia" w:hAnsiTheme="majorHAnsi" w:cstheme="majorBidi"/>
      <w:spacing w:val="-10"/>
      <w:kern w:val="28"/>
      <w:sz w:val="56"/>
      <w:szCs w:val="56"/>
      <w:lang w:val="es-CO"/>
    </w:rPr>
  </w:style>
  <w:style w:type="paragraph" w:styleId="Subttulo">
    <w:name w:val="Subtitle"/>
    <w:basedOn w:val="Normal"/>
    <w:next w:val="Normal"/>
    <w:link w:val="SubttuloCar"/>
    <w:uiPriority w:val="11"/>
    <w:qFormat/>
    <w:rPr>
      <w:color w:val="595959"/>
      <w:sz w:val="28"/>
      <w:szCs w:val="28"/>
    </w:rPr>
  </w:style>
  <w:style w:type="character" w:customStyle="1" w:styleId="SubttuloCar">
    <w:name w:val="Subtítulo Car"/>
    <w:basedOn w:val="Fuentedeprrafopredeter"/>
    <w:link w:val="Subttulo"/>
    <w:uiPriority w:val="11"/>
    <w:rsid w:val="002D0F7F"/>
    <w:rPr>
      <w:rFonts w:eastAsiaTheme="majorEastAsia" w:cstheme="majorBidi"/>
      <w:color w:val="595959" w:themeColor="text1" w:themeTint="A6"/>
      <w:spacing w:val="15"/>
      <w:sz w:val="28"/>
      <w:szCs w:val="28"/>
      <w:lang w:val="es-CO"/>
    </w:rPr>
  </w:style>
  <w:style w:type="paragraph" w:styleId="Cita">
    <w:name w:val="Quote"/>
    <w:basedOn w:val="Normal"/>
    <w:next w:val="Normal"/>
    <w:link w:val="CitaCar"/>
    <w:uiPriority w:val="29"/>
    <w:qFormat/>
    <w:rsid w:val="002D0F7F"/>
    <w:pPr>
      <w:spacing w:before="160"/>
      <w:jc w:val="center"/>
    </w:pPr>
    <w:rPr>
      <w:i/>
      <w:iCs/>
      <w:color w:val="404040" w:themeColor="text1" w:themeTint="BF"/>
    </w:rPr>
  </w:style>
  <w:style w:type="character" w:customStyle="1" w:styleId="CitaCar">
    <w:name w:val="Cita Car"/>
    <w:basedOn w:val="Fuentedeprrafopredeter"/>
    <w:link w:val="Cita"/>
    <w:uiPriority w:val="29"/>
    <w:rsid w:val="002D0F7F"/>
    <w:rPr>
      <w:i/>
      <w:iCs/>
      <w:color w:val="404040" w:themeColor="text1" w:themeTint="BF"/>
      <w:lang w:val="es-CO"/>
    </w:rPr>
  </w:style>
  <w:style w:type="paragraph" w:styleId="Prrafodelista">
    <w:name w:val="List Paragraph"/>
    <w:basedOn w:val="Normal"/>
    <w:uiPriority w:val="34"/>
    <w:qFormat/>
    <w:rsid w:val="002D0F7F"/>
    <w:pPr>
      <w:ind w:left="720"/>
      <w:contextualSpacing/>
    </w:pPr>
  </w:style>
  <w:style w:type="character" w:styleId="nfasisintenso">
    <w:name w:val="Intense Emphasis"/>
    <w:basedOn w:val="Fuentedeprrafopredeter"/>
    <w:uiPriority w:val="21"/>
    <w:qFormat/>
    <w:rsid w:val="002D0F7F"/>
    <w:rPr>
      <w:i/>
      <w:iCs/>
      <w:color w:val="2F5496" w:themeColor="accent1" w:themeShade="BF"/>
    </w:rPr>
  </w:style>
  <w:style w:type="paragraph" w:styleId="Citadestacada">
    <w:name w:val="Intense Quote"/>
    <w:basedOn w:val="Normal"/>
    <w:next w:val="Normal"/>
    <w:link w:val="CitadestacadaCar"/>
    <w:uiPriority w:val="30"/>
    <w:qFormat/>
    <w:rsid w:val="002D0F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D0F7F"/>
    <w:rPr>
      <w:i/>
      <w:iCs/>
      <w:color w:val="2F5496" w:themeColor="accent1" w:themeShade="BF"/>
      <w:lang w:val="es-CO"/>
    </w:rPr>
  </w:style>
  <w:style w:type="character" w:styleId="Referenciaintensa">
    <w:name w:val="Intense Reference"/>
    <w:basedOn w:val="Fuentedeprrafopredeter"/>
    <w:uiPriority w:val="32"/>
    <w:qFormat/>
    <w:rsid w:val="002D0F7F"/>
    <w:rPr>
      <w:b/>
      <w:bCs/>
      <w:smallCaps/>
      <w:color w:val="2F5496" w:themeColor="accent1" w:themeShade="BF"/>
      <w:spacing w:val="5"/>
    </w:rPr>
  </w:style>
  <w:style w:type="paragraph" w:styleId="Encabezado">
    <w:name w:val="header"/>
    <w:basedOn w:val="Normal"/>
    <w:link w:val="EncabezadoCar"/>
    <w:uiPriority w:val="99"/>
    <w:unhideWhenUsed/>
    <w:rsid w:val="002D0F7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D0F7F"/>
    <w:rPr>
      <w:lang w:val="es-CO"/>
    </w:rPr>
  </w:style>
  <w:style w:type="paragraph" w:styleId="Piedepgina">
    <w:name w:val="footer"/>
    <w:basedOn w:val="Normal"/>
    <w:link w:val="PiedepginaCar"/>
    <w:uiPriority w:val="99"/>
    <w:unhideWhenUsed/>
    <w:rsid w:val="002D0F7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D0F7F"/>
    <w:rPr>
      <w:lang w:val="es-CO"/>
    </w:rPr>
  </w:style>
  <w:style w:type="table" w:styleId="Tablaconcuadrcula">
    <w:name w:val="Table Grid"/>
    <w:basedOn w:val="Tablanormal"/>
    <w:uiPriority w:val="39"/>
    <w:rsid w:val="002D0F7F"/>
    <w:pPr>
      <w:spacing w:after="0" w:line="240" w:lineRule="auto"/>
      <w:ind w:left="0"/>
      <w:jc w:val="left"/>
    </w:pPr>
    <w:rPr>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50F71"/>
    <w:pPr>
      <w:spacing w:before="100" w:beforeAutospacing="1" w:after="100" w:afterAutospacing="1" w:line="240" w:lineRule="auto"/>
      <w:ind w:left="0"/>
      <w:jc w:val="left"/>
    </w:pPr>
    <w:rPr>
      <w:rFonts w:ascii="Times New Roman" w:eastAsia="Times New Roman" w:hAnsi="Times New Roman" w:cs="Times New Roman"/>
      <w:sz w:val="24"/>
      <w:szCs w:val="24"/>
      <w:lang w:val="es-PE" w:eastAsia="es-PE"/>
    </w:rPr>
  </w:style>
  <w:style w:type="character" w:styleId="Hipervnculo">
    <w:name w:val="Hyperlink"/>
    <w:basedOn w:val="Fuentedeprrafopredeter"/>
    <w:uiPriority w:val="99"/>
    <w:unhideWhenUsed/>
    <w:rsid w:val="00491F62"/>
    <w:rPr>
      <w:color w:val="0563C1" w:themeColor="hyperlink"/>
      <w:u w:val="single"/>
    </w:rPr>
  </w:style>
  <w:style w:type="character" w:customStyle="1" w:styleId="Mencinsinresolver1">
    <w:name w:val="Mención sin resolver1"/>
    <w:basedOn w:val="Fuentedeprrafopredeter"/>
    <w:uiPriority w:val="99"/>
    <w:semiHidden/>
    <w:unhideWhenUsed/>
    <w:rsid w:val="00491F62"/>
    <w:rPr>
      <w:color w:val="605E5C"/>
      <w:shd w:val="clear" w:color="auto" w:fill="E1DFDD"/>
    </w:rPr>
  </w:style>
  <w:style w:type="paragraph" w:styleId="Textonotapie">
    <w:name w:val="footnote text"/>
    <w:basedOn w:val="Normal"/>
    <w:link w:val="TextonotapieCar"/>
    <w:uiPriority w:val="99"/>
    <w:semiHidden/>
    <w:unhideWhenUsed/>
    <w:rsid w:val="006C426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C426C"/>
    <w:rPr>
      <w:sz w:val="20"/>
      <w:szCs w:val="20"/>
      <w:lang w:val="es-CO"/>
    </w:rPr>
  </w:style>
  <w:style w:type="character" w:styleId="Refdenotaalpie">
    <w:name w:val="footnote reference"/>
    <w:basedOn w:val="Fuentedeprrafopredeter"/>
    <w:uiPriority w:val="99"/>
    <w:semiHidden/>
    <w:unhideWhenUsed/>
    <w:rsid w:val="006C426C"/>
    <w:rPr>
      <w:vertAlign w:val="superscript"/>
    </w:rPr>
  </w:style>
  <w:style w:type="character" w:styleId="Textoennegrita">
    <w:name w:val="Strong"/>
    <w:basedOn w:val="Fuentedeprrafopredeter"/>
    <w:uiPriority w:val="22"/>
    <w:qFormat/>
    <w:rsid w:val="006135E8"/>
    <w:rPr>
      <w:b/>
      <w:bCs/>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ind w:left="0"/>
      <w:jc w:val="left"/>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ecretariasenado.gov.co/senado/basedoc/ley_1276_2009.html" TargetMode="External"/><Relationship Id="rId18" Type="http://schemas.openxmlformats.org/officeDocument/2006/relationships/hyperlink" Target="https://www.alcaldiabogota.gov.co/sisjur/normas/Norma1.jsp?i=4124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ecretariasenado.gov.co/senado/basedoc/ley_0599_2000.html" TargetMode="External"/><Relationship Id="rId17" Type="http://schemas.openxmlformats.org/officeDocument/2006/relationships/hyperlink" Target="https://www.alcaldiabogota.gov.co/sisjur/normas/Norma1.jsp?i=186" TargetMode="External"/><Relationship Id="rId2" Type="http://schemas.openxmlformats.org/officeDocument/2006/relationships/numbering" Target="numbering.xml"/><Relationship Id="rId16" Type="http://schemas.openxmlformats.org/officeDocument/2006/relationships/hyperlink" Target="https://www.alcaldiabogota.gov.co/sisjur/normas/Norma1.jsp?i=4125" TargetMode="External"/><Relationship Id="rId20" Type="http://schemas.openxmlformats.org/officeDocument/2006/relationships/hyperlink" Target="https://www.alcaldiabogota.gov.co/sisjur/normas/Norma1.jsp?i=12997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1315_2009.html" TargetMode="External"/><Relationship Id="rId5" Type="http://schemas.openxmlformats.org/officeDocument/2006/relationships/webSettings" Target="webSettings.xml"/><Relationship Id="rId15" Type="http://schemas.openxmlformats.org/officeDocument/2006/relationships/hyperlink" Target="https://www.alcaldiabogota.gov.co/sisjur/normas/Norma1.jsp?i=186" TargetMode="External"/><Relationship Id="rId23" Type="http://schemas.openxmlformats.org/officeDocument/2006/relationships/theme" Target="theme/theme1.xml"/><Relationship Id="rId10" Type="http://schemas.openxmlformats.org/officeDocument/2006/relationships/hyperlink" Target="http://www.secretariasenado.gov.co/senado/basedoc/ley_1251_2008.html" TargetMode="External"/><Relationship Id="rId19" Type="http://schemas.openxmlformats.org/officeDocument/2006/relationships/hyperlink" Target="https://www.alcaldiabogota.gov.co/sisjur/normas/Norma1.jsp?i=129977" TargetMode="External"/><Relationship Id="rId4" Type="http://schemas.openxmlformats.org/officeDocument/2006/relationships/settings" Target="settings.xml"/><Relationship Id="rId9" Type="http://schemas.openxmlformats.org/officeDocument/2006/relationships/hyperlink" Target="http://www.secretariasenado.gov.co/senado/basedoc/constitucion_politica_1991_pr001.html" TargetMode="External"/><Relationship Id="rId14" Type="http://schemas.openxmlformats.org/officeDocument/2006/relationships/hyperlink" Target="https://www.alcaldiabogota.gov.co/sisjur/normas/Norma1.jsp?i=3691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argentina.gob.ar/justicia/derechofacil/leysimple/proteccion-de-los-derechos-humanos-de-los-adultos-mayores" TargetMode="External"/><Relationship Id="rId7" Type="http://schemas.openxmlformats.org/officeDocument/2006/relationships/hyperlink" Target="https://www.minjusticia.gov.co/programas-co/LegalApp/Paginas/Que-debo-hacer-si-conozco-casos-de-maltrato-o-abandono-de-un-adulto-mayor.aspx" TargetMode="External"/><Relationship Id="rId2" Type="http://schemas.openxmlformats.org/officeDocument/2006/relationships/hyperlink" Target="https://www.argentina.gob.ar/justicia/derechofacil/leysimple/proteccion-de-los-derechos-humanos-de-los-adultos-mayores" TargetMode="External"/><Relationship Id="rId1" Type="http://schemas.openxmlformats.org/officeDocument/2006/relationships/hyperlink" Target="https://1library.co/article/tratados-internacionales-aplicados-al-adulto-mayor.y8g73m2z" TargetMode="External"/><Relationship Id="rId6" Type="http://schemas.openxmlformats.org/officeDocument/2006/relationships/hyperlink" Target="about:blank" TargetMode="External"/><Relationship Id="rId5" Type="http://schemas.openxmlformats.org/officeDocument/2006/relationships/hyperlink" Target="https://encolombia.com/derecho/leyes/personas-mayores/adulto-convencion-interamericana/" TargetMode="External"/><Relationship Id="rId4" Type="http://schemas.openxmlformats.org/officeDocument/2006/relationships/hyperlink" Target="https://www.minsalud.gov.co/Paginas/Minsalud-celebra-ratificacion-de-la-Convencion-Interamericana-para-la-Proteccion-de-las-Personas-Mayore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27qSgiHe/+fpGTvExldnENd1Rw==">CgMxLjAaHwoBMBIaChgICVIUChJ0YWJsZS52enNuMmM2ZjlyeGkyCGguZ2pkZ3hzOAByITFSb1Zoc0dmczhhT3VtcFd5bU5nRVhTWXlPQk5YQ2NZcw==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9049</Words>
  <Characters>49774</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Alisson Camila Blanco Mayorga</dc:creator>
  <cp:lastModifiedBy>ANA YOLANDA DURAN RODRIGUEZ</cp:lastModifiedBy>
  <cp:revision>3</cp:revision>
  <dcterms:created xsi:type="dcterms:W3CDTF">2025-02-07T23:25:00Z</dcterms:created>
  <dcterms:modified xsi:type="dcterms:W3CDTF">2025-02-07T23:29:00Z</dcterms:modified>
</cp:coreProperties>
</file>